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894B" w14:textId="4F8CFF52" w:rsidR="007C1840" w:rsidRPr="004373BC" w:rsidRDefault="007C1840" w:rsidP="007C1840">
      <w:pPr>
        <w:pStyle w:val="Heading1"/>
        <w:spacing w:before="1440"/>
      </w:pPr>
      <w:r w:rsidRPr="004373BC">
        <w:t>Model Clinical Trial Agreement</w:t>
      </w:r>
      <w:r w:rsidR="00DE1113">
        <w:t xml:space="preserve"> for investigational Advanced Therapy Medicinal Products</w:t>
      </w:r>
      <w:r w:rsidRPr="004373BC">
        <w:t xml:space="preserve"> (</w:t>
      </w:r>
      <w:r w:rsidR="00DE1113">
        <w:t>ATiMP-</w:t>
      </w:r>
      <w:proofErr w:type="spellStart"/>
      <w:r w:rsidRPr="004373BC">
        <w:t>mCTA</w:t>
      </w:r>
      <w:proofErr w:type="spellEnd"/>
      <w:r w:rsidRPr="004373BC">
        <w:t>) and</w:t>
      </w:r>
    </w:p>
    <w:p w14:paraId="7D3E6B15" w14:textId="2AF2D9DF" w:rsidR="007C1840" w:rsidRPr="004373BC" w:rsidRDefault="007C1840" w:rsidP="007C1840">
      <w:pPr>
        <w:pStyle w:val="Heading1"/>
      </w:pPr>
      <w:r w:rsidRPr="004373BC">
        <w:t>Clinical Research Organisation Model Clinical Trial Agreement</w:t>
      </w:r>
      <w:r w:rsidR="00DE1113">
        <w:t xml:space="preserve"> for investigational Advanced Therapy Medicinal Products</w:t>
      </w:r>
      <w:r w:rsidRPr="004373BC">
        <w:t xml:space="preserve"> (CRO-</w:t>
      </w:r>
      <w:r w:rsidR="00DE1113">
        <w:t>ATiMP-</w:t>
      </w:r>
      <w:proofErr w:type="spellStart"/>
      <w:r w:rsidRPr="004373BC">
        <w:t>mCTA</w:t>
      </w:r>
      <w:proofErr w:type="spellEnd"/>
      <w:r w:rsidRPr="004373BC">
        <w:t>)</w:t>
      </w:r>
    </w:p>
    <w:p w14:paraId="168345F4" w14:textId="36CCB7AE" w:rsidR="007C1840" w:rsidRPr="004373BC" w:rsidRDefault="007C1840" w:rsidP="007C1840">
      <w:pPr>
        <w:pStyle w:val="Heading1"/>
        <w:spacing w:before="1440" w:after="1440"/>
      </w:pPr>
      <w:r w:rsidRPr="004373BC">
        <w:t>Guidance</w:t>
      </w:r>
    </w:p>
    <w:p w14:paraId="346BC31C" w14:textId="52E0663A" w:rsidR="007C1840" w:rsidRDefault="00C07177" w:rsidP="007C1840">
      <w:pPr>
        <w:pStyle w:val="Heading2"/>
        <w:numPr>
          <w:ilvl w:val="0"/>
          <w:numId w:val="0"/>
        </w:numPr>
      </w:pPr>
      <w:r>
        <w:t>July</w:t>
      </w:r>
      <w:r w:rsidRPr="004373BC">
        <w:t xml:space="preserve"> </w:t>
      </w:r>
      <w:r w:rsidR="007C1840" w:rsidRPr="004373BC">
        <w:t>202</w:t>
      </w:r>
      <w:r w:rsidR="00727733">
        <w:t>1</w:t>
      </w:r>
    </w:p>
    <w:p w14:paraId="6C10D38B" w14:textId="77777777" w:rsidR="007C1840" w:rsidRDefault="007C1840">
      <w:pPr>
        <w:tabs>
          <w:tab w:val="clear" w:pos="567"/>
          <w:tab w:val="clear" w:pos="1418"/>
          <w:tab w:val="clear" w:pos="1843"/>
        </w:tabs>
        <w:spacing w:after="160" w:line="259" w:lineRule="auto"/>
        <w:rPr>
          <w:rFonts w:eastAsiaTheme="majorEastAsia" w:cstheme="majorBidi"/>
          <w:b/>
          <w:color w:val="003087"/>
          <w:sz w:val="32"/>
          <w:szCs w:val="26"/>
        </w:rPr>
      </w:pPr>
      <w:r>
        <w:br w:type="page"/>
      </w:r>
    </w:p>
    <w:p w14:paraId="2A3C8672" w14:textId="6DE21D14" w:rsidR="000E3576" w:rsidRDefault="007C1840" w:rsidP="00DB2D00">
      <w:pPr>
        <w:pStyle w:val="Heading1"/>
      </w:pPr>
      <w:r w:rsidRPr="00D40B0D">
        <w:t>Model Clinical Trial Agreement and</w:t>
      </w:r>
      <w:r w:rsidR="000E3576">
        <w:t xml:space="preserve"> </w:t>
      </w:r>
      <w:r w:rsidRPr="00D40B0D">
        <w:t>Clinical</w:t>
      </w:r>
      <w:r w:rsidR="006E42F4">
        <w:t xml:space="preserve"> </w:t>
      </w:r>
      <w:r w:rsidRPr="00D40B0D">
        <w:t>Research Organisation Model Clinical Trial Agreement</w:t>
      </w:r>
    </w:p>
    <w:p w14:paraId="71EE34ED" w14:textId="77777777" w:rsidR="007C1840" w:rsidRPr="00D40B0D" w:rsidRDefault="007C1840" w:rsidP="000E3576">
      <w:pPr>
        <w:pStyle w:val="Heading1"/>
      </w:pPr>
      <w:r w:rsidRPr="00D40B0D">
        <w:t>Guidance</w:t>
      </w:r>
    </w:p>
    <w:p w14:paraId="5C97575C" w14:textId="77777777" w:rsidR="000E3576" w:rsidRPr="00D40B0D" w:rsidRDefault="000E3576" w:rsidP="000E3576">
      <w:pPr>
        <w:pStyle w:val="Heading2"/>
        <w:numPr>
          <w:ilvl w:val="0"/>
          <w:numId w:val="0"/>
        </w:numPr>
      </w:pPr>
      <w:r w:rsidRPr="00D40B0D">
        <w:t>Introduction</w:t>
      </w:r>
    </w:p>
    <w:p w14:paraId="556E90D2" w14:textId="6267B1D3" w:rsidR="000E3576" w:rsidRPr="00D40B0D" w:rsidRDefault="000E3576" w:rsidP="00DB2D00">
      <w:r w:rsidRPr="00D40B0D">
        <w:t>The first model clinical trial agreement (“</w:t>
      </w:r>
      <w:proofErr w:type="spellStart"/>
      <w:r w:rsidRPr="00D40B0D">
        <w:t>mCTA</w:t>
      </w:r>
      <w:proofErr w:type="spellEnd"/>
      <w:r w:rsidRPr="00D40B0D">
        <w:t>”) for pharmaceutical research was drawn up and published by the Department of Health</w:t>
      </w:r>
      <w:r w:rsidR="00B451AA">
        <w:t xml:space="preserve"> </w:t>
      </w:r>
      <w:r w:rsidR="006E42F4">
        <w:t>and</w:t>
      </w:r>
      <w:r w:rsidR="00B451AA">
        <w:t xml:space="preserve"> Social Care</w:t>
      </w:r>
      <w:r w:rsidRPr="00D40B0D">
        <w:t xml:space="preserve"> and </w:t>
      </w:r>
      <w:r w:rsidR="009872B4" w:rsidRPr="009872B4">
        <w:rPr>
          <w:lang w:eastAsia="en-GB"/>
        </w:rPr>
        <w:t>The Association of the British Pharmaceutical Industry (ABPI)</w:t>
      </w:r>
      <w:r w:rsidR="009872B4">
        <w:rPr>
          <w:lang w:eastAsia="en-GB"/>
        </w:rPr>
        <w:t xml:space="preserve"> </w:t>
      </w:r>
      <w:r w:rsidRPr="00D40B0D">
        <w:t>in 2003, with the intention that a template agreement would make the contracting process more straightforward and efficient.</w:t>
      </w:r>
    </w:p>
    <w:p w14:paraId="338D711E" w14:textId="16E138AA" w:rsidR="000E3576" w:rsidRPr="00D40B0D" w:rsidRDefault="000E3576" w:rsidP="00DB2D00">
      <w:r w:rsidRPr="00D40B0D">
        <w:t xml:space="preserve">Since 2003, the </w:t>
      </w:r>
      <w:proofErr w:type="spellStart"/>
      <w:r w:rsidRPr="00D40B0D">
        <w:t>mCTA</w:t>
      </w:r>
      <w:proofErr w:type="spellEnd"/>
      <w:r w:rsidRPr="00D40B0D">
        <w:t xml:space="preserve"> has been refined and developed to take account of a changing regulatory regime and clinical trial environment. The first version of the clinical research organisation model clinical trial agreement (“CRO-</w:t>
      </w:r>
      <w:proofErr w:type="spellStart"/>
      <w:r w:rsidRPr="00D40B0D">
        <w:t>mCTA</w:t>
      </w:r>
      <w:proofErr w:type="spellEnd"/>
      <w:r w:rsidRPr="00D40B0D">
        <w:t xml:space="preserve">”) was published in 2007 and this was updated in 2011, in line with the 2011 version of the </w:t>
      </w:r>
      <w:proofErr w:type="spellStart"/>
      <w:r w:rsidRPr="00D40B0D">
        <w:t>mCTA</w:t>
      </w:r>
      <w:proofErr w:type="spellEnd"/>
      <w:r w:rsidRPr="00D40B0D">
        <w:t xml:space="preserve">. Both </w:t>
      </w:r>
      <w:proofErr w:type="spellStart"/>
      <w:r w:rsidRPr="00D40B0D">
        <w:t>mCTA</w:t>
      </w:r>
      <w:proofErr w:type="spellEnd"/>
      <w:r w:rsidRPr="00D40B0D">
        <w:t xml:space="preserve"> and CRO-</w:t>
      </w:r>
      <w:proofErr w:type="spellStart"/>
      <w:r w:rsidRPr="00D40B0D">
        <w:t>mCTA</w:t>
      </w:r>
      <w:proofErr w:type="spellEnd"/>
      <w:r w:rsidRPr="00D40B0D">
        <w:t xml:space="preserve"> were updated again in 2018, with the most significant update being the replacement of four UK nation-specific templates with a single template applicable to all four UK nations. More information about the development of the </w:t>
      </w:r>
      <w:proofErr w:type="spellStart"/>
      <w:r w:rsidRPr="00D40B0D">
        <w:t>mCTA</w:t>
      </w:r>
      <w:proofErr w:type="spellEnd"/>
      <w:r w:rsidRPr="00D40B0D">
        <w:t xml:space="preserve"> and CRO-</w:t>
      </w:r>
      <w:proofErr w:type="spellStart"/>
      <w:r w:rsidRPr="00D40B0D">
        <w:t>mCTA</w:t>
      </w:r>
      <w:proofErr w:type="spellEnd"/>
      <w:r w:rsidRPr="00D40B0D">
        <w:t xml:space="preserve"> (the “</w:t>
      </w:r>
      <w:proofErr w:type="spellStart"/>
      <w:r w:rsidRPr="00D40B0D">
        <w:t>mCTAs</w:t>
      </w:r>
      <w:proofErr w:type="spellEnd"/>
      <w:r w:rsidRPr="00D40B0D">
        <w:t>”) is provided below.</w:t>
      </w:r>
    </w:p>
    <w:p w14:paraId="368591EA" w14:textId="68606A7A" w:rsidR="000E3576" w:rsidRPr="00D40B0D" w:rsidRDefault="000E3576" w:rsidP="00DB2D00">
      <w:r w:rsidRPr="00D40B0D">
        <w:t xml:space="preserve">The </w:t>
      </w:r>
      <w:proofErr w:type="spellStart"/>
      <w:r w:rsidRPr="00D40B0D">
        <w:t>mCTAs</w:t>
      </w:r>
      <w:proofErr w:type="spellEnd"/>
      <w:r w:rsidRPr="00D40B0D">
        <w:t xml:space="preserve"> have been developed through consultations between the various stakeholder groups, including representatives from the Department of Health</w:t>
      </w:r>
      <w:r w:rsidR="00B451AA">
        <w:t xml:space="preserve"> </w:t>
      </w:r>
      <w:r w:rsidR="00D73636">
        <w:t>and</w:t>
      </w:r>
      <w:r w:rsidR="00B451AA">
        <w:t xml:space="preserve"> Social Care</w:t>
      </w:r>
      <w:r w:rsidRPr="00D40B0D">
        <w:t>, the Health Research Authority, the National Institute for Health Research, the Medical Research Council, the Devolved Administrations, the NHS, life sciences trade associations and national and global heads of research from bio</w:t>
      </w:r>
      <w:r w:rsidR="003204C7">
        <w:t>-</w:t>
      </w:r>
      <w:r w:rsidRPr="00D40B0D">
        <w:t>pharmaceutical companies and clinical research organisations.</w:t>
      </w:r>
    </w:p>
    <w:p w14:paraId="30ADA37B" w14:textId="24D733D3" w:rsidR="000E3576" w:rsidRDefault="000E3576" w:rsidP="00DB2D00">
      <w:r w:rsidRPr="00D40B0D">
        <w:t xml:space="preserve">The </w:t>
      </w:r>
      <w:proofErr w:type="spellStart"/>
      <w:r w:rsidRPr="00D40B0D">
        <w:t>mCTAs</w:t>
      </w:r>
      <w:proofErr w:type="spellEnd"/>
      <w:r w:rsidRPr="00D40B0D">
        <w:t xml:space="preserve"> have been devised to meet the needs of the companies </w:t>
      </w:r>
      <w:r w:rsidR="001D09C8">
        <w:t>Sponsor</w:t>
      </w:r>
      <w:r w:rsidRPr="00D40B0D">
        <w:t xml:space="preserve">ing clinical trials and clinical research organisations managing sites and to reflect the duty of care that </w:t>
      </w:r>
      <w:r w:rsidR="001D09C8">
        <w:t>Participating Organisations</w:t>
      </w:r>
      <w:r w:rsidRPr="00D40B0D">
        <w:t xml:space="preserve"> have for their patients.</w:t>
      </w:r>
    </w:p>
    <w:p w14:paraId="6EEBF36D" w14:textId="7961D907" w:rsidR="0081344D" w:rsidRPr="00D40B0D" w:rsidRDefault="0081344D" w:rsidP="00DB2D00">
      <w:r>
        <w:t xml:space="preserve">In </w:t>
      </w:r>
      <w:r w:rsidR="009B5638">
        <w:t>2020, the [Advanced Therapy Treatment Centre</w:t>
      </w:r>
      <w:r w:rsidR="001A19A0">
        <w:t xml:space="preserve"> network</w:t>
      </w:r>
      <w:r w:rsidR="009B5638">
        <w:t>]</w:t>
      </w:r>
      <w:r w:rsidR="005B4069">
        <w:t xml:space="preserve"> through its Clinical Trials Working </w:t>
      </w:r>
      <w:r w:rsidR="00B41944">
        <w:t>G</w:t>
      </w:r>
      <w:r w:rsidR="005B4069">
        <w:t xml:space="preserve">roup conducted a review of the </w:t>
      </w:r>
      <w:proofErr w:type="spellStart"/>
      <w:r w:rsidR="005B4069">
        <w:t>mCTA</w:t>
      </w:r>
      <w:proofErr w:type="spellEnd"/>
      <w:r w:rsidR="005B4069">
        <w:t xml:space="preserve"> and CRO-</w:t>
      </w:r>
      <w:proofErr w:type="spellStart"/>
      <w:r w:rsidR="005B4069">
        <w:t>mCTA</w:t>
      </w:r>
      <w:proofErr w:type="spellEnd"/>
      <w:r w:rsidR="005B4069">
        <w:t xml:space="preserve"> with a view </w:t>
      </w:r>
      <w:r w:rsidR="001D214D">
        <w:t>to</w:t>
      </w:r>
      <w:r w:rsidR="007F2D8E">
        <w:t xml:space="preserve"> making</w:t>
      </w:r>
      <w:r w:rsidR="001D214D">
        <w:t xml:space="preserve"> </w:t>
      </w:r>
      <w:r w:rsidR="00AC47F6">
        <w:t>those agreements suitable for use in the context of investigational Advanced Therapy Medicinal Products</w:t>
      </w:r>
      <w:r w:rsidR="004B29C2">
        <w:t xml:space="preserve"> (as defined in </w:t>
      </w:r>
      <w:r w:rsidR="004B29C2" w:rsidRPr="004B29C2">
        <w:t>Reg</w:t>
      </w:r>
      <w:r w:rsidR="004B29C2">
        <w:t>ulation</w:t>
      </w:r>
      <w:r w:rsidR="004B29C2" w:rsidRPr="004B29C2">
        <w:t xml:space="preserve"> 2A of The Human Medicines Regulations 2012 (SI 2012/1916) as amended</w:t>
      </w:r>
      <w:r w:rsidR="004B29C2">
        <w:t>)</w:t>
      </w:r>
      <w:r w:rsidR="00AC47F6">
        <w:t xml:space="preserve"> (“</w:t>
      </w:r>
      <w:proofErr w:type="spellStart"/>
      <w:r w:rsidR="00AC47F6">
        <w:t>ATiMPs</w:t>
      </w:r>
      <w:proofErr w:type="spellEnd"/>
      <w:r w:rsidR="00AC47F6">
        <w:t>”</w:t>
      </w:r>
      <w:r w:rsidR="00B41944">
        <w:t>)</w:t>
      </w:r>
      <w:r w:rsidR="007F2D8E">
        <w:t xml:space="preserve"> which </w:t>
      </w:r>
      <w:r w:rsidR="002F6FD4">
        <w:t>require specific arrangements to be made between spons</w:t>
      </w:r>
      <w:r w:rsidR="001F46B0">
        <w:t xml:space="preserve">or and site owing to the way </w:t>
      </w:r>
      <w:proofErr w:type="spellStart"/>
      <w:r w:rsidR="001F46B0">
        <w:t>ATiMPs</w:t>
      </w:r>
      <w:proofErr w:type="spellEnd"/>
      <w:r w:rsidR="001F46B0">
        <w:t xml:space="preserve"> are manufactured.</w:t>
      </w:r>
      <w:r w:rsidR="00EA04F5">
        <w:t xml:space="preserve">  It also reflects the specific regulatory framework </w:t>
      </w:r>
      <w:r w:rsidR="005E7718">
        <w:t xml:space="preserve">applying to </w:t>
      </w:r>
      <w:proofErr w:type="spellStart"/>
      <w:r w:rsidR="005E7718">
        <w:t>ATiMPs</w:t>
      </w:r>
      <w:proofErr w:type="spellEnd"/>
      <w:r w:rsidR="005E7718">
        <w:t xml:space="preserve"> which apply in addition to the Medicines for Human Use (Clinical Trials) Regulations</w:t>
      </w:r>
      <w:r w:rsidR="00BF716F">
        <w:t xml:space="preserve"> as well as the framework governing the collection, storage and use of human tissues and cells as starting materials for the manufacture of medicinal products.</w:t>
      </w:r>
    </w:p>
    <w:p w14:paraId="20642EA8" w14:textId="3AFF2CC8" w:rsidR="000E3576" w:rsidRPr="00D40B0D" w:rsidRDefault="000E3576" w:rsidP="00DB2D00">
      <w:r w:rsidRPr="00D40B0D">
        <w:t xml:space="preserve">This guidance </w:t>
      </w:r>
      <w:proofErr w:type="gramStart"/>
      <w:r w:rsidRPr="00D40B0D">
        <w:t>provides an introduction to</w:t>
      </w:r>
      <w:proofErr w:type="gramEnd"/>
      <w:r w:rsidRPr="00D40B0D">
        <w:t xml:space="preserve"> the </w:t>
      </w:r>
      <w:r w:rsidR="00B41944">
        <w:t>ATiMP-</w:t>
      </w:r>
      <w:proofErr w:type="spellStart"/>
      <w:r w:rsidR="00B41944">
        <w:t>mCTA</w:t>
      </w:r>
      <w:proofErr w:type="spellEnd"/>
      <w:r w:rsidR="00B41944">
        <w:t xml:space="preserve"> and the CRO-ATiMP-</w:t>
      </w:r>
      <w:proofErr w:type="spellStart"/>
      <w:r w:rsidR="00B41944">
        <w:t>mCTA</w:t>
      </w:r>
      <w:proofErr w:type="spellEnd"/>
      <w:r w:rsidR="002A3A8E">
        <w:t xml:space="preserve"> (collectively the “ATiMP-</w:t>
      </w:r>
      <w:proofErr w:type="spellStart"/>
      <w:r w:rsidR="002A3A8E">
        <w:t>mCTAs</w:t>
      </w:r>
      <w:proofErr w:type="spellEnd"/>
      <w:r w:rsidR="002A3A8E">
        <w:t>”)</w:t>
      </w:r>
      <w:r w:rsidRPr="00D40B0D">
        <w:t>, outlining when and how they should be used, as well as summarising some of their key provisions.</w:t>
      </w:r>
      <w:r w:rsidR="00833804">
        <w:t xml:space="preserve">  The agreements are based on the January 2021 versions of </w:t>
      </w:r>
      <w:proofErr w:type="spellStart"/>
      <w:r w:rsidR="008E3BE1">
        <w:t>mCTA</w:t>
      </w:r>
      <w:proofErr w:type="spellEnd"/>
      <w:r w:rsidR="008E3BE1">
        <w:t xml:space="preserve"> and the CRO-</w:t>
      </w:r>
      <w:proofErr w:type="spellStart"/>
      <w:r w:rsidR="008E3BE1">
        <w:t>mCTA</w:t>
      </w:r>
      <w:proofErr w:type="spellEnd"/>
      <w:r w:rsidR="007F2137">
        <w:t xml:space="preserve"> and reference should be made to the g</w:t>
      </w:r>
      <w:r w:rsidR="0090249C">
        <w:t>uidance accompanying those agreements for more information on the updates made at that time.</w:t>
      </w:r>
      <w:r w:rsidR="00CE1930">
        <w:t xml:space="preserve">  It is anticipated that the </w:t>
      </w:r>
      <w:r w:rsidR="002740F5">
        <w:t>ATiMP-</w:t>
      </w:r>
      <w:proofErr w:type="spellStart"/>
      <w:r w:rsidR="002740F5">
        <w:t>mCTA</w:t>
      </w:r>
      <w:proofErr w:type="spellEnd"/>
      <w:r w:rsidR="002740F5">
        <w:t xml:space="preserve"> and CRO-ATiMP-</w:t>
      </w:r>
      <w:proofErr w:type="spellStart"/>
      <w:r w:rsidR="002740F5">
        <w:t>mCTA</w:t>
      </w:r>
      <w:proofErr w:type="spellEnd"/>
      <w:r w:rsidR="002740F5">
        <w:t xml:space="preserve"> will be kept under ongoing review as the field of Advanced Therapy Medicinal Products and their clinical investigation develops.</w:t>
      </w:r>
    </w:p>
    <w:p w14:paraId="0924A33A" w14:textId="5991815B" w:rsidR="00B37492" w:rsidRPr="007145AE" w:rsidRDefault="00B37492" w:rsidP="004E7AE8">
      <w:pPr>
        <w:pStyle w:val="Heading2"/>
        <w:numPr>
          <w:ilvl w:val="0"/>
          <w:numId w:val="0"/>
        </w:numPr>
      </w:pPr>
      <w:r w:rsidRPr="007145AE">
        <w:t>Structure of the Guidance</w:t>
      </w:r>
    </w:p>
    <w:p w14:paraId="76613573" w14:textId="2FE62A57" w:rsidR="00B37492" w:rsidRPr="007145AE" w:rsidRDefault="00B37492" w:rsidP="00A20F7E">
      <w:r w:rsidRPr="007145AE">
        <w:t>This guidance is in two parts</w:t>
      </w:r>
      <w:r>
        <w:t>:</w:t>
      </w:r>
    </w:p>
    <w:p w14:paraId="56A2124A" w14:textId="06BC18AE" w:rsidR="00B37492" w:rsidRDefault="00B37492" w:rsidP="00B37492">
      <w:pPr>
        <w:pStyle w:val="Normalnos"/>
        <w:numPr>
          <w:ilvl w:val="0"/>
          <w:numId w:val="23"/>
        </w:numPr>
        <w:ind w:left="1134"/>
      </w:pPr>
      <w:r w:rsidRPr="007145AE">
        <w:t xml:space="preserve">Section 1 provides an overview of how the </w:t>
      </w:r>
      <w:r w:rsidR="002A3A8E">
        <w:t>ATiMP-</w:t>
      </w:r>
      <w:proofErr w:type="spellStart"/>
      <w:r w:rsidRPr="007145AE">
        <w:t>mCTAs</w:t>
      </w:r>
      <w:proofErr w:type="spellEnd"/>
      <w:r w:rsidRPr="007145AE">
        <w:t xml:space="preserve"> should be used.</w:t>
      </w:r>
    </w:p>
    <w:p w14:paraId="679494FF" w14:textId="3489FF7F" w:rsidR="00B37492" w:rsidRPr="007145AE" w:rsidRDefault="00B37492" w:rsidP="00B37492">
      <w:pPr>
        <w:pStyle w:val="Normalnos"/>
        <w:numPr>
          <w:ilvl w:val="0"/>
          <w:numId w:val="23"/>
        </w:numPr>
        <w:ind w:left="1134"/>
      </w:pPr>
      <w:r w:rsidRPr="007145AE">
        <w:t xml:space="preserve">Section 2 is an overview of some of the provisions within the </w:t>
      </w:r>
      <w:r w:rsidR="002A3A8E">
        <w:t>ATiMP-</w:t>
      </w:r>
      <w:proofErr w:type="spellStart"/>
      <w:r w:rsidRPr="007145AE">
        <w:t>mCTAs</w:t>
      </w:r>
      <w:proofErr w:type="spellEnd"/>
      <w:r w:rsidRPr="007145AE">
        <w:t>.</w:t>
      </w:r>
    </w:p>
    <w:p w14:paraId="1ED53556" w14:textId="25F763A8" w:rsidR="00065D8A" w:rsidRDefault="00B37492" w:rsidP="00A20F7E">
      <w:pPr>
        <w:pStyle w:val="Heading2"/>
        <w:numPr>
          <w:ilvl w:val="0"/>
          <w:numId w:val="0"/>
        </w:numPr>
      </w:pPr>
      <w:r w:rsidRPr="00A20F7E">
        <w:t>Section</w:t>
      </w:r>
      <w:r w:rsidRPr="007145AE">
        <w:t xml:space="preserve"> 1</w:t>
      </w:r>
      <w:r>
        <w:t>:</w:t>
      </w:r>
      <w:r w:rsidRPr="007145AE">
        <w:t xml:space="preserve"> Use of the </w:t>
      </w:r>
      <w:proofErr w:type="spellStart"/>
      <w:r w:rsidRPr="007145AE">
        <w:t>mCTAs</w:t>
      </w:r>
      <w:proofErr w:type="spellEnd"/>
    </w:p>
    <w:p w14:paraId="6B9B7328" w14:textId="17D8A1A5" w:rsidR="00B37492" w:rsidRPr="00B37492" w:rsidRDefault="00B37492" w:rsidP="00B37492">
      <w:pPr>
        <w:pStyle w:val="Clauselevel1"/>
      </w:pPr>
      <w:r w:rsidRPr="00B37492">
        <w:rPr>
          <w:b/>
        </w:rPr>
        <w:t xml:space="preserve">What are the </w:t>
      </w:r>
      <w:proofErr w:type="spellStart"/>
      <w:r w:rsidRPr="00B37492">
        <w:rPr>
          <w:b/>
        </w:rPr>
        <w:t>mCTAs</w:t>
      </w:r>
      <w:proofErr w:type="spellEnd"/>
      <w:r w:rsidRPr="00B37492">
        <w:rPr>
          <w:b/>
        </w:rPr>
        <w:t>?</w:t>
      </w:r>
    </w:p>
    <w:p w14:paraId="00941D10" w14:textId="04C071A0" w:rsidR="00B37492" w:rsidRPr="007145AE" w:rsidRDefault="00B37492" w:rsidP="00B37492">
      <w:pPr>
        <w:ind w:left="567"/>
      </w:pPr>
      <w:r w:rsidRPr="007145AE">
        <w:t xml:space="preserve">The </w:t>
      </w:r>
      <w:r w:rsidR="00FB1A2F">
        <w:t>ATiMP-</w:t>
      </w:r>
      <w:proofErr w:type="spellStart"/>
      <w:r w:rsidRPr="007145AE">
        <w:t>mCTA</w:t>
      </w:r>
      <w:proofErr w:type="spellEnd"/>
      <w:r w:rsidRPr="007145AE">
        <w:t xml:space="preserve"> is the standard form contract for use by industry </w:t>
      </w:r>
      <w:r w:rsidR="001D09C8">
        <w:t>Sponsors</w:t>
      </w:r>
      <w:r w:rsidRPr="007145AE">
        <w:t xml:space="preserve"> and NHS organisations running contract clinical trials</w:t>
      </w:r>
      <w:r w:rsidR="00FB1A2F">
        <w:t xml:space="preserve"> involving </w:t>
      </w:r>
      <w:proofErr w:type="spellStart"/>
      <w:r w:rsidR="00FB1A2F">
        <w:t>ATiMPs</w:t>
      </w:r>
      <w:proofErr w:type="spellEnd"/>
      <w:r w:rsidRPr="007145AE">
        <w:t>.</w:t>
      </w:r>
    </w:p>
    <w:p w14:paraId="1AC1E7CE" w14:textId="7F1E7973" w:rsidR="00B37492" w:rsidRPr="007145AE" w:rsidRDefault="00B37492" w:rsidP="00B37492">
      <w:pPr>
        <w:ind w:left="567"/>
      </w:pPr>
      <w:r w:rsidRPr="007145AE">
        <w:t>The CRO-</w:t>
      </w:r>
      <w:r w:rsidR="00FB1A2F">
        <w:t>ATiMP-</w:t>
      </w:r>
      <w:proofErr w:type="spellStart"/>
      <w:r w:rsidRPr="007145AE">
        <w:t>mCTA</w:t>
      </w:r>
      <w:proofErr w:type="spellEnd"/>
      <w:r w:rsidRPr="007145AE">
        <w:t xml:space="preserve"> is the standard form contract used by industry </w:t>
      </w:r>
      <w:r w:rsidR="001D09C8">
        <w:t>Sponsors</w:t>
      </w:r>
      <w:r w:rsidRPr="007145AE">
        <w:t>, the clinical research organisation separately contracted by them to undertake site management responsibilities, and NHS organisations running contract clinical trials</w:t>
      </w:r>
      <w:r w:rsidR="000A3222">
        <w:t xml:space="preserve"> involving </w:t>
      </w:r>
      <w:proofErr w:type="spellStart"/>
      <w:r w:rsidR="000A3222">
        <w:t>ATiMPs</w:t>
      </w:r>
      <w:proofErr w:type="spellEnd"/>
      <w:r w:rsidRPr="007145AE">
        <w:t>.</w:t>
      </w:r>
    </w:p>
    <w:p w14:paraId="75ACC8DC" w14:textId="57096601" w:rsidR="00B37492" w:rsidRPr="007145AE" w:rsidRDefault="00B37492" w:rsidP="00B37492">
      <w:pPr>
        <w:ind w:left="567"/>
      </w:pPr>
      <w:r w:rsidRPr="007145AE">
        <w:t>Contract clinical trials are industry-</w:t>
      </w:r>
      <w:r w:rsidR="001D09C8">
        <w:t>Sponsor</w:t>
      </w:r>
      <w:r w:rsidRPr="007145AE">
        <w:t>ed trials in which NHS patients receive Investigational Medicinal Products (“IMPs”) under the duty of care of NHS hospitals.</w:t>
      </w:r>
    </w:p>
    <w:p w14:paraId="77CC357A" w14:textId="1D138E91" w:rsidR="00B37492" w:rsidRPr="007145AE" w:rsidRDefault="00B37492" w:rsidP="00B37492">
      <w:pPr>
        <w:ind w:left="567"/>
      </w:pPr>
      <w:r w:rsidRPr="007145AE">
        <w:t>All references in this guidance to “clinical trial” should be read as a reference to a contract clinical trial</w:t>
      </w:r>
      <w:r w:rsidR="00131F33">
        <w:t xml:space="preserve"> involving an ATiMP</w:t>
      </w:r>
      <w:r w:rsidRPr="007145AE">
        <w:t>.</w:t>
      </w:r>
    </w:p>
    <w:p w14:paraId="1F046810" w14:textId="71FCE6DF" w:rsidR="00B37492" w:rsidRPr="00B37492" w:rsidRDefault="00B37492" w:rsidP="00A20F7E">
      <w:pPr>
        <w:pStyle w:val="Clauselevel1"/>
        <w:keepNext/>
      </w:pPr>
      <w:r w:rsidRPr="00B37492">
        <w:rPr>
          <w:b/>
        </w:rPr>
        <w:t xml:space="preserve">When should the </w:t>
      </w:r>
      <w:proofErr w:type="spellStart"/>
      <w:r w:rsidRPr="00B37492">
        <w:rPr>
          <w:b/>
        </w:rPr>
        <w:t>mCTAs</w:t>
      </w:r>
      <w:proofErr w:type="spellEnd"/>
      <w:r w:rsidRPr="00B37492">
        <w:rPr>
          <w:b/>
        </w:rPr>
        <w:t xml:space="preserve"> be used?</w:t>
      </w:r>
    </w:p>
    <w:p w14:paraId="7DAED28E" w14:textId="28D2D63F" w:rsidR="00B37492" w:rsidRPr="007145AE" w:rsidRDefault="00B37492" w:rsidP="00B37492">
      <w:pPr>
        <w:ind w:left="567"/>
      </w:pPr>
      <w:r w:rsidRPr="007145AE">
        <w:t xml:space="preserve">The </w:t>
      </w:r>
      <w:r w:rsidR="00BB7DC2">
        <w:t>ATi</w:t>
      </w:r>
      <w:r w:rsidR="00027A8A">
        <w:t>MP-</w:t>
      </w:r>
      <w:proofErr w:type="spellStart"/>
      <w:r w:rsidRPr="007145AE">
        <w:t>mCTA</w:t>
      </w:r>
      <w:proofErr w:type="spellEnd"/>
      <w:r w:rsidRPr="007145AE">
        <w:t xml:space="preserve"> is intended to be used for all phases of contract clinical trials, including Phase I trials, but should not be used for Phase I trials in healthy volunteers.</w:t>
      </w:r>
    </w:p>
    <w:p w14:paraId="79F749D1" w14:textId="71D0510F" w:rsidR="00B37492" w:rsidRPr="007145AE" w:rsidRDefault="00B37492" w:rsidP="00B37492">
      <w:pPr>
        <w:ind w:left="567"/>
      </w:pPr>
      <w:r w:rsidRPr="007145AE">
        <w:t>The CRO-</w:t>
      </w:r>
      <w:r w:rsidR="00027A8A">
        <w:t>ATIMP-</w:t>
      </w:r>
      <w:proofErr w:type="spellStart"/>
      <w:r w:rsidRPr="007145AE">
        <w:t>mCTA</w:t>
      </w:r>
      <w:proofErr w:type="spellEnd"/>
      <w:r w:rsidRPr="007145AE">
        <w:t xml:space="preserve"> is intended to be used as above but where, in addition, the </w:t>
      </w:r>
      <w:r w:rsidR="001D09C8">
        <w:t>Sponsor</w:t>
      </w:r>
      <w:r w:rsidRPr="007145AE">
        <w:t xml:space="preserve"> has contracted with a clinical research organisation to be responsible for aspects of trial management at site. Where the CRO-</w:t>
      </w:r>
      <w:proofErr w:type="spellStart"/>
      <w:r w:rsidRPr="007145AE">
        <w:t>mCTA</w:t>
      </w:r>
      <w:proofErr w:type="spellEnd"/>
      <w:r w:rsidRPr="007145AE">
        <w:t xml:space="preserve"> is used, it forms a tri-partite agreement between the </w:t>
      </w:r>
      <w:r w:rsidR="001D09C8">
        <w:t>Sponsor</w:t>
      </w:r>
      <w:r w:rsidRPr="007145AE">
        <w:t>, CRO and NHS organisation.</w:t>
      </w:r>
    </w:p>
    <w:p w14:paraId="1ED7D329" w14:textId="5947649F" w:rsidR="00B37492" w:rsidRPr="007145AE" w:rsidRDefault="00B37492" w:rsidP="00B37492">
      <w:pPr>
        <w:ind w:left="567"/>
      </w:pPr>
      <w:r w:rsidRPr="007145AE">
        <w:t xml:space="preserve">The </w:t>
      </w:r>
      <w:r w:rsidR="00027A8A">
        <w:t>ATi</w:t>
      </w:r>
      <w:r w:rsidR="00571D65">
        <w:t>M</w:t>
      </w:r>
      <w:r w:rsidR="00027A8A">
        <w:t>P-</w:t>
      </w:r>
      <w:proofErr w:type="spellStart"/>
      <w:r w:rsidRPr="007145AE">
        <w:t>mCTAs</w:t>
      </w:r>
      <w:proofErr w:type="spellEnd"/>
      <w:r w:rsidRPr="007145AE">
        <w:t xml:space="preserve"> are not for use in non-commercial studies funded or </w:t>
      </w:r>
      <w:r w:rsidR="005C57A0">
        <w:t>s</w:t>
      </w:r>
      <w:r w:rsidR="001D09C8">
        <w:t>ponsor</w:t>
      </w:r>
      <w:r w:rsidRPr="007145AE">
        <w:t xml:space="preserve">ed by charities, government departments or </w:t>
      </w:r>
      <w:r w:rsidR="005C57A0">
        <w:t>r</w:t>
      </w:r>
      <w:r w:rsidRPr="007145AE">
        <w:t xml:space="preserve">esearch </w:t>
      </w:r>
      <w:r w:rsidR="005C57A0">
        <w:t>c</w:t>
      </w:r>
      <w:r w:rsidRPr="007145AE">
        <w:t xml:space="preserve">ouncils, </w:t>
      </w:r>
      <w:proofErr w:type="gramStart"/>
      <w:r w:rsidRPr="007145AE">
        <w:t>whether or not</w:t>
      </w:r>
      <w:proofErr w:type="gramEnd"/>
      <w:r w:rsidRPr="007145AE">
        <w:t xml:space="preserve"> such </w:t>
      </w:r>
      <w:r w:rsidR="003B6DB7">
        <w:t>studies</w:t>
      </w:r>
      <w:r w:rsidRPr="007145AE">
        <w:t xml:space="preserve"> involve NHS patients and whether or not they are carried out by NHS organisations. The Model Agreement for Non-Commercial Research in the Health Service (</w:t>
      </w:r>
      <w:proofErr w:type="spellStart"/>
      <w:r w:rsidR="00306050">
        <w:fldChar w:fldCharType="begin"/>
      </w:r>
      <w:r w:rsidR="00306050">
        <w:instrText xml:space="preserve"> HYPERLINK "https://www.myresearchproject.org.uk/help/hlptemplatesfor.aspx" \l "mNCA" </w:instrText>
      </w:r>
      <w:r w:rsidR="00306050">
        <w:fldChar w:fldCharType="separate"/>
      </w:r>
      <w:r w:rsidRPr="007145AE">
        <w:rPr>
          <w:rStyle w:val="Hyperlink"/>
        </w:rPr>
        <w:t>mNCA</w:t>
      </w:r>
      <w:proofErr w:type="spellEnd"/>
      <w:r w:rsidR="00306050">
        <w:rPr>
          <w:rStyle w:val="Hyperlink"/>
        </w:rPr>
        <w:fldChar w:fldCharType="end"/>
      </w:r>
      <w:r w:rsidRPr="007145AE">
        <w:t xml:space="preserve">) </w:t>
      </w:r>
      <w:r w:rsidR="003B6DB7">
        <w:t xml:space="preserve">or </w:t>
      </w:r>
      <w:hyperlink r:id="rId11" w:anchor="UK-Local-Information-Pack-OID" w:history="1">
        <w:r w:rsidR="003B6DB7" w:rsidRPr="003B6DB7">
          <w:rPr>
            <w:rStyle w:val="Hyperlink"/>
          </w:rPr>
          <w:t>non-commercial Organisation Information Document</w:t>
        </w:r>
      </w:hyperlink>
      <w:r w:rsidR="003B6DB7">
        <w:t xml:space="preserve"> (as appropriate) </w:t>
      </w:r>
      <w:r w:rsidRPr="007145AE">
        <w:t>should be used for this purpose.</w:t>
      </w:r>
    </w:p>
    <w:p w14:paraId="3930A652" w14:textId="56E8D5DF" w:rsidR="00B37492" w:rsidRPr="007145AE" w:rsidRDefault="00B37492" w:rsidP="00B37492">
      <w:pPr>
        <w:ind w:left="567"/>
      </w:pPr>
      <w:r w:rsidRPr="007145AE">
        <w:t xml:space="preserve">The </w:t>
      </w:r>
      <w:r w:rsidR="00571D65">
        <w:t>ATiMP</w:t>
      </w:r>
      <w:r w:rsidR="004657CF">
        <w:t>-</w:t>
      </w:r>
      <w:proofErr w:type="spellStart"/>
      <w:r w:rsidRPr="007145AE">
        <w:t>mCTAs</w:t>
      </w:r>
      <w:proofErr w:type="spellEnd"/>
      <w:r w:rsidRPr="007145AE">
        <w:t xml:space="preserve"> are not for use between the collaborating organisations in collaborative clinical research trials. Such studies should be contracted using the Model Agreement for Collaborative Commercial Clinical Research Conducted by Companies in the Pharmaceutical and Biotechnology Industries, Universities and NHS Organisations (</w:t>
      </w:r>
      <w:hyperlink r:id="rId12" w:history="1">
        <w:r w:rsidRPr="007145AE">
          <w:rPr>
            <w:rStyle w:val="Hyperlink"/>
          </w:rPr>
          <w:t>MICRA</w:t>
        </w:r>
      </w:hyperlink>
      <w:r w:rsidRPr="007145AE">
        <w:t xml:space="preserve">). </w:t>
      </w:r>
    </w:p>
    <w:p w14:paraId="16AE2F41" w14:textId="0D2BB467" w:rsidR="00B37492" w:rsidRPr="007145AE" w:rsidRDefault="00B37492" w:rsidP="00B37492">
      <w:pPr>
        <w:ind w:left="567"/>
      </w:pPr>
      <w:r w:rsidRPr="007145AE">
        <w:t xml:space="preserve">The </w:t>
      </w:r>
      <w:r w:rsidR="00C82F69">
        <w:t>ATiMP-</w:t>
      </w:r>
      <w:proofErr w:type="spellStart"/>
      <w:r w:rsidRPr="007145AE">
        <w:t>mCTAs</w:t>
      </w:r>
      <w:proofErr w:type="spellEnd"/>
      <w:r w:rsidRPr="007145AE">
        <w:t xml:space="preserve"> are not designed for the purposes of any Contract Clinical Trials (Phases I to IV) performed by private institutions with patients recruited independent of their treatment within the NHS.</w:t>
      </w:r>
    </w:p>
    <w:p w14:paraId="4272B57F" w14:textId="5A9F8320" w:rsidR="00B37492" w:rsidRPr="007145AE" w:rsidRDefault="00B37492" w:rsidP="00B37492">
      <w:pPr>
        <w:ind w:left="567"/>
      </w:pPr>
      <w:r w:rsidRPr="0042020C">
        <w:t xml:space="preserve">The </w:t>
      </w:r>
      <w:r w:rsidR="00C82F69">
        <w:t>ATiMP-</w:t>
      </w:r>
      <w:proofErr w:type="spellStart"/>
      <w:r w:rsidRPr="0042020C">
        <w:t>mCTAs</w:t>
      </w:r>
      <w:proofErr w:type="spellEnd"/>
      <w:r w:rsidRPr="0042020C">
        <w:t xml:space="preserve"> are not for use in primary care situations. Such studies should be contracted using the Primary Care model Clinical Trial Agreement</w:t>
      </w:r>
      <w:r w:rsidR="005C57A0">
        <w:t xml:space="preserve"> (PC-</w:t>
      </w:r>
      <w:proofErr w:type="spellStart"/>
      <w:r w:rsidR="005C57A0">
        <w:t>mCTA</w:t>
      </w:r>
      <w:proofErr w:type="spellEnd"/>
      <w:r w:rsidR="005C57A0">
        <w:t>)</w:t>
      </w:r>
      <w:r w:rsidRPr="0042020C">
        <w:t>. Details can be found on the IRAS website.</w:t>
      </w:r>
    </w:p>
    <w:p w14:paraId="45A9AEBD" w14:textId="2A4C1E7E" w:rsidR="00B37492" w:rsidRPr="007145AE" w:rsidRDefault="00B37492" w:rsidP="00B37492">
      <w:pPr>
        <w:ind w:left="567"/>
      </w:pPr>
      <w:r w:rsidRPr="007145AE">
        <w:t xml:space="preserve">The </w:t>
      </w:r>
      <w:r w:rsidR="00C82F69">
        <w:t>ATiMP-</w:t>
      </w:r>
      <w:proofErr w:type="spellStart"/>
      <w:r w:rsidRPr="007145AE">
        <w:t>mCTAs</w:t>
      </w:r>
      <w:proofErr w:type="spellEnd"/>
      <w:r w:rsidRPr="007145AE">
        <w:t xml:space="preserve"> are not for use in investigator-initiated trials. The Model Agreement for Non-Commercial Research in the Health Service (</w:t>
      </w:r>
      <w:proofErr w:type="spellStart"/>
      <w:r w:rsidR="00306050">
        <w:fldChar w:fldCharType="begin"/>
      </w:r>
      <w:r w:rsidR="00306050">
        <w:instrText xml:space="preserve"> HYPERLINK "https://www.myresearchproject.org.uk/help/hlptemplatesfor.aspx" \l "mNCA" </w:instrText>
      </w:r>
      <w:r w:rsidR="00306050">
        <w:fldChar w:fldCharType="separate"/>
      </w:r>
      <w:r w:rsidRPr="007145AE">
        <w:rPr>
          <w:rStyle w:val="Hyperlink"/>
        </w:rPr>
        <w:t>mNCA</w:t>
      </w:r>
      <w:proofErr w:type="spellEnd"/>
      <w:r w:rsidR="00306050">
        <w:rPr>
          <w:rStyle w:val="Hyperlink"/>
        </w:rPr>
        <w:fldChar w:fldCharType="end"/>
      </w:r>
      <w:r w:rsidRPr="007145AE">
        <w:t>) should be used for this purpose.</w:t>
      </w:r>
    </w:p>
    <w:p w14:paraId="3D5A3FE2" w14:textId="77777777" w:rsidR="00B37492" w:rsidRPr="00B37492" w:rsidRDefault="00B37492" w:rsidP="00B37492">
      <w:pPr>
        <w:pStyle w:val="Clauselevel1"/>
      </w:pPr>
      <w:r w:rsidRPr="00B37492">
        <w:rPr>
          <w:b/>
        </w:rPr>
        <w:t xml:space="preserve">Modifications of the </w:t>
      </w:r>
      <w:proofErr w:type="spellStart"/>
      <w:r w:rsidRPr="00B37492">
        <w:rPr>
          <w:b/>
        </w:rPr>
        <w:t>mCTAs</w:t>
      </w:r>
      <w:proofErr w:type="spellEnd"/>
    </w:p>
    <w:p w14:paraId="49426B74" w14:textId="1206A9D1" w:rsidR="00E109D4" w:rsidRPr="00F05F26" w:rsidRDefault="00E109D4" w:rsidP="00E109D4">
      <w:pPr>
        <w:ind w:left="567"/>
      </w:pPr>
      <w:r w:rsidRPr="00F05F26">
        <w:t xml:space="preserve">The </w:t>
      </w:r>
      <w:proofErr w:type="spellStart"/>
      <w:r w:rsidRPr="00F05F26">
        <w:t>mCTAs</w:t>
      </w:r>
      <w:proofErr w:type="spellEnd"/>
      <w:r w:rsidR="0037237A">
        <w:t>, on which the ATiMP-</w:t>
      </w:r>
      <w:proofErr w:type="spellStart"/>
      <w:r w:rsidR="0037237A">
        <w:t>mCTAs</w:t>
      </w:r>
      <w:proofErr w:type="spellEnd"/>
      <w:r w:rsidR="0037237A">
        <w:t xml:space="preserve"> are based,</w:t>
      </w:r>
      <w:r w:rsidRPr="00F05F26">
        <w:t xml:space="preserve"> have been developed through </w:t>
      </w:r>
      <w:r w:rsidR="00FE1B20">
        <w:t xml:space="preserve">many years of </w:t>
      </w:r>
      <w:r w:rsidRPr="00F05F26">
        <w:t>negotiation and discussion between a wide stakeholder group.</w:t>
      </w:r>
      <w:r w:rsidR="00EB02C8">
        <w:t xml:space="preserve">  Similarly the ATiMP-</w:t>
      </w:r>
      <w:proofErr w:type="spellStart"/>
      <w:r w:rsidR="00EB02C8">
        <w:t>mCTAs</w:t>
      </w:r>
      <w:proofErr w:type="spellEnd"/>
      <w:r w:rsidR="00EB02C8">
        <w:t xml:space="preserve"> have developed through </w:t>
      </w:r>
      <w:r w:rsidR="005D603C">
        <w:t xml:space="preserve">discussion amongst </w:t>
      </w:r>
      <w:proofErr w:type="gramStart"/>
      <w:r w:rsidR="005D603C">
        <w:t>a number of</w:t>
      </w:r>
      <w:proofErr w:type="gramEnd"/>
      <w:r w:rsidR="005D603C">
        <w:t xml:space="preserve"> stakeholders who are expert in studies involving </w:t>
      </w:r>
      <w:proofErr w:type="spellStart"/>
      <w:r w:rsidR="005D603C">
        <w:t>ATiMPs</w:t>
      </w:r>
      <w:proofErr w:type="spellEnd"/>
      <w:r w:rsidR="005B6F81">
        <w:t xml:space="preserve"> with those discussions facilitated by the Advanced Therapy Treatment Centre network and its Clinical Trial Working Group.</w:t>
      </w:r>
    </w:p>
    <w:p w14:paraId="1421301D" w14:textId="63A10A97" w:rsidR="00E109D4" w:rsidRPr="00F05F26" w:rsidRDefault="00E109D4" w:rsidP="00E109D4">
      <w:pPr>
        <w:ind w:left="567"/>
      </w:pPr>
      <w:r w:rsidRPr="00F05F26">
        <w:t>Prior to execution of a clinical trial agreement, it is necessary for trial</w:t>
      </w:r>
      <w:r>
        <w:t>-</w:t>
      </w:r>
      <w:r w:rsidRPr="00F05F26">
        <w:t>specific information to be appended to</w:t>
      </w:r>
      <w:r w:rsidR="003B6DB7">
        <w:t>, or options selected within,</w:t>
      </w:r>
      <w:r w:rsidRPr="00F05F26">
        <w:t xml:space="preserve"> the </w:t>
      </w:r>
      <w:proofErr w:type="spellStart"/>
      <w:r w:rsidRPr="00F05F26">
        <w:t>mCTAs</w:t>
      </w:r>
      <w:proofErr w:type="spellEnd"/>
      <w:r w:rsidRPr="00F05F26">
        <w:t>. The information</w:t>
      </w:r>
      <w:r w:rsidR="003B6DB7">
        <w:t xml:space="preserve"> required/options</w:t>
      </w:r>
      <w:r w:rsidRPr="00F05F26">
        <w:t xml:space="preserve"> </w:t>
      </w:r>
      <w:r w:rsidR="003B6DB7">
        <w:t>are</w:t>
      </w:r>
      <w:r w:rsidRPr="00F05F26">
        <w:t xml:space="preserve"> identified on the front page of the </w:t>
      </w:r>
      <w:proofErr w:type="spellStart"/>
      <w:r w:rsidRPr="00F05F26">
        <w:t>mCTAs</w:t>
      </w:r>
      <w:proofErr w:type="spellEnd"/>
      <w:r w:rsidR="003B6DB7">
        <w:t xml:space="preserve"> (and throughout the </w:t>
      </w:r>
      <w:proofErr w:type="spellStart"/>
      <w:r w:rsidR="003B6DB7">
        <w:t>mCTAs</w:t>
      </w:r>
      <w:proofErr w:type="spellEnd"/>
      <w:r w:rsidR="003B6DB7">
        <w:t xml:space="preserve"> in </w:t>
      </w:r>
      <w:r w:rsidR="003B6DB7" w:rsidRPr="003B6DB7">
        <w:rPr>
          <w:highlight w:val="yellow"/>
        </w:rPr>
        <w:t>yellow highlight</w:t>
      </w:r>
      <w:r w:rsidR="003B6DB7">
        <w:t>)</w:t>
      </w:r>
      <w:r w:rsidRPr="00F05F26">
        <w:t xml:space="preserve">. </w:t>
      </w:r>
      <w:r w:rsidR="003B6DB7">
        <w:t>Other than the need to add/select information as specified, it</w:t>
      </w:r>
      <w:r w:rsidRPr="00F05F26">
        <w:t xml:space="preserve"> is strongly recommended by all the UK Health Departments that the </w:t>
      </w:r>
      <w:proofErr w:type="spellStart"/>
      <w:r w:rsidRPr="00F05F26">
        <w:t>mCTAs</w:t>
      </w:r>
      <w:proofErr w:type="spellEnd"/>
      <w:r w:rsidRPr="00F05F26">
        <w:t xml:space="preserve"> should be used without modification.</w:t>
      </w:r>
      <w:r w:rsidR="005C57A0">
        <w:t xml:space="preserve"> Any request by a sponsor/CRO to modify the </w:t>
      </w:r>
      <w:proofErr w:type="spellStart"/>
      <w:r w:rsidR="005C57A0">
        <w:t>mCTAs</w:t>
      </w:r>
      <w:proofErr w:type="spellEnd"/>
      <w:r w:rsidR="005C57A0">
        <w:t xml:space="preserve"> and/or to use any agreement to contract with a site other than the appropriate </w:t>
      </w:r>
      <w:proofErr w:type="spellStart"/>
      <w:r w:rsidR="005C57A0">
        <w:t>mCTA</w:t>
      </w:r>
      <w:proofErr w:type="spellEnd"/>
      <w:r w:rsidR="005C57A0">
        <w:t>, should be disclosed in the IRAS submission (a version of the template proposed for use, with tracked changes and details justification should be provided).</w:t>
      </w:r>
    </w:p>
    <w:p w14:paraId="67B74D1C" w14:textId="518ECC97" w:rsidR="005C57A0" w:rsidRDefault="00E109D4" w:rsidP="00A20F7E">
      <w:pPr>
        <w:ind w:left="567"/>
      </w:pPr>
      <w:r w:rsidRPr="00F05F26">
        <w:t>In England and Wales</w:t>
      </w:r>
      <w:r>
        <w:t>,</w:t>
      </w:r>
      <w:r w:rsidRPr="00F05F26">
        <w:t xml:space="preserve"> NHS organisations are required to use only an unmodified </w:t>
      </w:r>
      <w:proofErr w:type="spellStart"/>
      <w:r w:rsidRPr="00F05F26">
        <w:t>mCTA</w:t>
      </w:r>
      <w:proofErr w:type="spellEnd"/>
      <w:r w:rsidRPr="00F05F26">
        <w:t xml:space="preserve"> or CRO-</w:t>
      </w:r>
      <w:proofErr w:type="spellStart"/>
      <w:r w:rsidRPr="00F05F26">
        <w:t>mCTA</w:t>
      </w:r>
      <w:proofErr w:type="spellEnd"/>
      <w:r w:rsidRPr="00F05F26">
        <w:t xml:space="preserve"> (as appropriate and applicable). In exceptional circumstances this requirement may be waived by the letter of HRA and HCRW Approval for the study</w:t>
      </w:r>
      <w:r w:rsidR="005C57A0">
        <w:t xml:space="preserve">. Such waivers require UK agreement from the UK Four Nations Contracting Leads Group. Similarly, proposals for modifications to </w:t>
      </w:r>
      <w:proofErr w:type="spellStart"/>
      <w:r w:rsidR="005C57A0">
        <w:t>mCTAs</w:t>
      </w:r>
      <w:proofErr w:type="spellEnd"/>
      <w:r w:rsidR="005C57A0">
        <w:t xml:space="preserve"> for use with sites in Scotland or Northern Ireland will also be escalated to the UK Group.</w:t>
      </w:r>
    </w:p>
    <w:p w14:paraId="1693B01E" w14:textId="6AAA0A90" w:rsidR="00E109D4" w:rsidRPr="00F05F26" w:rsidRDefault="001D09C8" w:rsidP="00A20F7E">
      <w:pPr>
        <w:ind w:left="567"/>
      </w:pPr>
      <w:r>
        <w:t>Sponsors</w:t>
      </w:r>
      <w:r w:rsidR="00E109D4" w:rsidRPr="00F05F26">
        <w:t xml:space="preserve"> should be aware that </w:t>
      </w:r>
      <w:r w:rsidR="00FE1B20">
        <w:t>proposing modifications to template agreements</w:t>
      </w:r>
      <w:r w:rsidR="00E109D4" w:rsidRPr="00F05F26">
        <w:t xml:space="preserve"> </w:t>
      </w:r>
      <w:r w:rsidR="00FE1B20">
        <w:t>is likely to result in</w:t>
      </w:r>
      <w:r w:rsidR="00E109D4" w:rsidRPr="00F05F26">
        <w:t xml:space="preserve"> significant delay and does not oblige NHS organisations to agree the modified agreement</w:t>
      </w:r>
      <w:r w:rsidR="00FE1B20">
        <w:t>, even where a waiver is centrally agreed for its use</w:t>
      </w:r>
      <w:r w:rsidR="00E109D4" w:rsidRPr="00F05F26">
        <w:t>. Unmodified use is strongly recommended.</w:t>
      </w:r>
    </w:p>
    <w:p w14:paraId="54653CDD" w14:textId="2F37E3B8" w:rsidR="00E109D4" w:rsidRPr="00F05F26" w:rsidRDefault="00E109D4" w:rsidP="00A20F7E">
      <w:pPr>
        <w:pStyle w:val="Heading2"/>
        <w:numPr>
          <w:ilvl w:val="0"/>
          <w:numId w:val="0"/>
        </w:numPr>
      </w:pPr>
      <w:r w:rsidRPr="00F05F26">
        <w:t>Section 2</w:t>
      </w:r>
      <w:r>
        <w:t>:</w:t>
      </w:r>
      <w:r w:rsidRPr="00F05F26">
        <w:t xml:space="preserve"> Guidance on the Provisions in the </w:t>
      </w:r>
      <w:proofErr w:type="spellStart"/>
      <w:r w:rsidRPr="00F05F26">
        <w:t>mCTAs</w:t>
      </w:r>
      <w:proofErr w:type="spellEnd"/>
    </w:p>
    <w:p w14:paraId="0B63620D" w14:textId="0197B455" w:rsidR="00A20F7E" w:rsidRDefault="00A20F7E" w:rsidP="00A20F7E">
      <w:pPr>
        <w:pStyle w:val="Normalnos"/>
        <w:ind w:left="567"/>
      </w:pPr>
      <w:r w:rsidRPr="00E109D4">
        <w:rPr>
          <w:b/>
        </w:rPr>
        <w:t>Contracting Parties</w:t>
      </w:r>
      <w:r>
        <w:t xml:space="preserve"> </w:t>
      </w:r>
    </w:p>
    <w:p w14:paraId="14CDF063" w14:textId="77777777" w:rsidR="00A20F7E" w:rsidRPr="00F05F26" w:rsidRDefault="00A20F7E" w:rsidP="00A20F7E">
      <w:pPr>
        <w:ind w:left="567"/>
      </w:pPr>
      <w:proofErr w:type="gramStart"/>
      <w:r w:rsidRPr="00F05F26">
        <w:t>In order to</w:t>
      </w:r>
      <w:proofErr w:type="gramEnd"/>
      <w:r w:rsidRPr="00F05F26">
        <w:t xml:space="preserve"> comply with research and clinical governance requirements and expectations, and to establish the correct lines of accountability for clinicians practising in the NHS, all contract clinical trials must be governed by contracts between the </w:t>
      </w:r>
      <w:r>
        <w:t>Sponsor</w:t>
      </w:r>
      <w:r w:rsidRPr="00F05F26">
        <w:t xml:space="preserve"> and the </w:t>
      </w:r>
      <w:r>
        <w:t>Participating Organisation</w:t>
      </w:r>
      <w:r w:rsidRPr="00F05F26">
        <w:t xml:space="preserve"> responsible for the research site. This remains the case even when, for example, the investigator is employed by a university and holds an honorary contract with the </w:t>
      </w:r>
      <w:r>
        <w:t>Participating Organisation</w:t>
      </w:r>
      <w:r w:rsidRPr="00F05F26">
        <w:t>.</w:t>
      </w:r>
    </w:p>
    <w:p w14:paraId="3B8BD1CB" w14:textId="4426B5E9" w:rsidR="00A20F7E" w:rsidRPr="00F05F26" w:rsidRDefault="00A20F7E" w:rsidP="00A20F7E">
      <w:pPr>
        <w:ind w:left="567"/>
      </w:pPr>
      <w:r w:rsidRPr="00F05F26">
        <w:t xml:space="preserve">Where a </w:t>
      </w:r>
      <w:r>
        <w:t>Sponsor</w:t>
      </w:r>
      <w:r w:rsidRPr="00F05F26">
        <w:t xml:space="preserve"> has legally delegated to a corporate affiliate of the </w:t>
      </w:r>
      <w:r>
        <w:t>Sponsor</w:t>
      </w:r>
      <w:r w:rsidRPr="00F05F26">
        <w:t xml:space="preserve"> </w:t>
      </w:r>
      <w:r>
        <w:t>t</w:t>
      </w:r>
      <w:r w:rsidRPr="00F05F26">
        <w:t xml:space="preserve">he power to contractually bind the </w:t>
      </w:r>
      <w:r>
        <w:t>Sponsor</w:t>
      </w:r>
      <w:r w:rsidRPr="00F05F26">
        <w:t xml:space="preserve"> by signing the Agreement on its behalf, evidence of this delegated authority should be attached as Appendix </w:t>
      </w:r>
      <w:r>
        <w:t xml:space="preserve">8 of the </w:t>
      </w:r>
      <w:r w:rsidR="00282453">
        <w:t>ATiMP-</w:t>
      </w:r>
      <w:proofErr w:type="spellStart"/>
      <w:r>
        <w:t>mCTA</w:t>
      </w:r>
      <w:proofErr w:type="spellEnd"/>
      <w:r>
        <w:t xml:space="preserve"> or Appendix 9 of the CRO-</w:t>
      </w:r>
      <w:r w:rsidR="00282453">
        <w:t>ATiMP-</w:t>
      </w:r>
      <w:proofErr w:type="spellStart"/>
      <w:r>
        <w:t>mCTA</w:t>
      </w:r>
      <w:proofErr w:type="spellEnd"/>
      <w:r>
        <w:t>. This evidence is required by the NHS as an assurance that the</w:t>
      </w:r>
      <w:r w:rsidRPr="00F05F26">
        <w:t xml:space="preserve"> delegated entity </w:t>
      </w:r>
      <w:r>
        <w:t>is empowered by the Sponsor to</w:t>
      </w:r>
      <w:r w:rsidRPr="00F05F26">
        <w:t xml:space="preserve"> sign on behalf of the </w:t>
      </w:r>
      <w:r>
        <w:t>Sponsor</w:t>
      </w:r>
      <w:r w:rsidRPr="00F05F26">
        <w:t xml:space="preserve"> and </w:t>
      </w:r>
      <w:r>
        <w:t xml:space="preserve">thereby </w:t>
      </w:r>
      <w:r w:rsidRPr="00F05F26">
        <w:t xml:space="preserve">bind the </w:t>
      </w:r>
      <w:r>
        <w:t>Sponsor as Party</w:t>
      </w:r>
      <w:r w:rsidRPr="00F05F26">
        <w:t xml:space="preserve"> to the </w:t>
      </w:r>
      <w:r>
        <w:t>agreement</w:t>
      </w:r>
      <w:r w:rsidRPr="00F05F26">
        <w:t>.</w:t>
      </w:r>
    </w:p>
    <w:p w14:paraId="7DFC2BB0" w14:textId="77777777" w:rsidR="00A20F7E" w:rsidRPr="00F05F26" w:rsidRDefault="00A20F7E" w:rsidP="00A20F7E">
      <w:pPr>
        <w:ind w:left="567"/>
      </w:pPr>
      <w:r w:rsidRPr="00F05F26">
        <w:t xml:space="preserve">Where a </w:t>
      </w:r>
      <w:r>
        <w:t>Sponsor</w:t>
      </w:r>
      <w:r w:rsidRPr="00F05F26">
        <w:t xml:space="preserve"> is not established in the </w:t>
      </w:r>
      <w:r>
        <w:t>UK or EEA</w:t>
      </w:r>
      <w:r w:rsidRPr="00F05F26">
        <w:t xml:space="preserve">, their </w:t>
      </w:r>
      <w:r>
        <w:t xml:space="preserve">UK/EEA </w:t>
      </w:r>
      <w:r w:rsidRPr="00F05F26">
        <w:t xml:space="preserve">Legal Representative </w:t>
      </w:r>
      <w:r>
        <w:t xml:space="preserve">for the purposes of the clinical trial regulations </w:t>
      </w:r>
      <w:r w:rsidRPr="00F05F26">
        <w:t xml:space="preserve">should be named </w:t>
      </w:r>
      <w:r>
        <w:t>in the recitals</w:t>
      </w:r>
      <w:r w:rsidRPr="00F05F26">
        <w:t xml:space="preserve"> of the agreement but will not be a separate signatory or party to the agreement in their capacity as Legal Representative.</w:t>
      </w:r>
    </w:p>
    <w:p w14:paraId="4E250210" w14:textId="0CE606B2" w:rsidR="00A20F7E" w:rsidRPr="00F05F26" w:rsidRDefault="00A20F7E" w:rsidP="00A20F7E">
      <w:pPr>
        <w:ind w:left="567"/>
      </w:pPr>
      <w:r w:rsidRPr="00F05F26">
        <w:t xml:space="preserve">Where the </w:t>
      </w:r>
      <w:r>
        <w:t>Sponsor</w:t>
      </w:r>
      <w:r w:rsidRPr="00F05F26">
        <w:t xml:space="preserve"> has contracted a CRO to manage aspects of the clinical trial, the CRO should be a party to the contract and the separation of responsibilities between the </w:t>
      </w:r>
      <w:r>
        <w:t>Sponsor</w:t>
      </w:r>
      <w:r w:rsidRPr="00F05F26">
        <w:t xml:space="preserve"> and CRO should be set out clearly, including evidence of the delegated activities appended at Appendix </w:t>
      </w:r>
      <w:r>
        <w:t>8 of the CRO-</w:t>
      </w:r>
      <w:r w:rsidR="00282453">
        <w:t>ATiMP-</w:t>
      </w:r>
      <w:proofErr w:type="spellStart"/>
      <w:r>
        <w:t>mCTA</w:t>
      </w:r>
      <w:proofErr w:type="spellEnd"/>
      <w:r>
        <w:t xml:space="preserve">. </w:t>
      </w:r>
      <w:r w:rsidRPr="00F05F26">
        <w:t xml:space="preserve">If the CRO has been legally empowered by the </w:t>
      </w:r>
      <w:r>
        <w:t>Sponsor</w:t>
      </w:r>
      <w:r w:rsidRPr="00F05F26">
        <w:t xml:space="preserve"> to sign on behalf of the </w:t>
      </w:r>
      <w:r>
        <w:t>Sponsor</w:t>
      </w:r>
      <w:r w:rsidRPr="00F05F26">
        <w:t xml:space="preserve"> to bind the </w:t>
      </w:r>
      <w:r>
        <w:t>Sponsor</w:t>
      </w:r>
      <w:r w:rsidRPr="00F05F26">
        <w:t xml:space="preserve"> as party to the agreement, this should be clearly evidenced in this appendix.</w:t>
      </w:r>
    </w:p>
    <w:p w14:paraId="7CCCF4DA" w14:textId="77777777" w:rsidR="00A20F7E" w:rsidRPr="00F05F26" w:rsidRDefault="00A20F7E" w:rsidP="00A20F7E">
      <w:pPr>
        <w:ind w:left="567"/>
      </w:pPr>
      <w:r>
        <w:t>Participating Organisations</w:t>
      </w:r>
      <w:r w:rsidRPr="00F05F26">
        <w:t xml:space="preserve"> have an obligation to inform medical academics’ substantive employers, which are usually universities, about clinical trials in which they are to take part.</w:t>
      </w:r>
    </w:p>
    <w:p w14:paraId="5DDA559D" w14:textId="2EF30DAF" w:rsidR="00A20F7E" w:rsidRPr="00F05F26" w:rsidRDefault="00A20F7E" w:rsidP="00A20F7E">
      <w:pPr>
        <w:ind w:left="567"/>
      </w:pPr>
      <w:r w:rsidRPr="00F05F26">
        <w:t xml:space="preserve">The </w:t>
      </w:r>
      <w:r w:rsidR="004A0E7E">
        <w:t>ATiMP-</w:t>
      </w:r>
      <w:proofErr w:type="spellStart"/>
      <w:r w:rsidR="004A0E7E">
        <w:t>mCTA</w:t>
      </w:r>
      <w:proofErr w:type="spellEnd"/>
      <w:r w:rsidR="004A0E7E" w:rsidRPr="00F05F26">
        <w:t xml:space="preserve"> </w:t>
      </w:r>
      <w:r w:rsidRPr="00F05F26">
        <w:t xml:space="preserve">should not be modified to form a tripartite agreement with an academic institution as a third party. </w:t>
      </w:r>
      <w:proofErr w:type="gramStart"/>
      <w:r w:rsidRPr="00F05F26">
        <w:t>In the event that</w:t>
      </w:r>
      <w:proofErr w:type="gramEnd"/>
      <w:r w:rsidRPr="00F05F26">
        <w:t xml:space="preserve"> a </w:t>
      </w:r>
      <w:r>
        <w:t>Sponsor</w:t>
      </w:r>
      <w:r w:rsidRPr="00F05F26">
        <w:t xml:space="preserve"> has engaged a Contract Research Organisation to recruit and manage trial sites, the CRO-</w:t>
      </w:r>
      <w:r w:rsidR="004A0E7E">
        <w:t>ATiMP-</w:t>
      </w:r>
      <w:proofErr w:type="spellStart"/>
      <w:r w:rsidRPr="00F05F26">
        <w:t>mCTA</w:t>
      </w:r>
      <w:proofErr w:type="spellEnd"/>
      <w:r w:rsidRPr="00F05F26">
        <w:t xml:space="preserve"> should be used.</w:t>
      </w:r>
    </w:p>
    <w:p w14:paraId="1C136325" w14:textId="1450B9AE" w:rsidR="00A20F7E" w:rsidRDefault="00A20F7E" w:rsidP="00A20F7E">
      <w:pPr>
        <w:ind w:left="567"/>
      </w:pPr>
      <w:r w:rsidRPr="00F05F26">
        <w:t xml:space="preserve">In no case should a clinical trial </w:t>
      </w:r>
      <w:r>
        <w:t>Sponsor</w:t>
      </w:r>
      <w:r w:rsidRPr="00F05F26">
        <w:t xml:space="preserve"> </w:t>
      </w:r>
      <w:proofErr w:type="gramStart"/>
      <w:r w:rsidRPr="00F05F26">
        <w:t>enter into</w:t>
      </w:r>
      <w:proofErr w:type="gramEnd"/>
      <w:r w:rsidRPr="00F05F26">
        <w:t xml:space="preserve"> a contract with an individual employee of either a </w:t>
      </w:r>
      <w:r>
        <w:t>Participating Organisation</w:t>
      </w:r>
      <w:r w:rsidRPr="00F05F26">
        <w:t xml:space="preserve"> or a university in a personal capacity to undertake a clinical trial involving NHS patients.</w:t>
      </w:r>
      <w:r>
        <w:t xml:space="preserve">  This prohibition applies to contracts governing the conduct of clinical trials (including the </w:t>
      </w:r>
      <w:proofErr w:type="spellStart"/>
      <w:r>
        <w:t>mCTAs</w:t>
      </w:r>
      <w:proofErr w:type="spellEnd"/>
      <w:r>
        <w:t>).  Chief Investigators may be separately contracted for their services either personally, via their employing organisation or otherwise as appropriate.</w:t>
      </w:r>
    </w:p>
    <w:p w14:paraId="77F013F6" w14:textId="570F3B83" w:rsidR="004E76E2" w:rsidRPr="00F05F26" w:rsidRDefault="004E76E2" w:rsidP="00A20F7E">
      <w:pPr>
        <w:ind w:left="567"/>
      </w:pPr>
      <w:r>
        <w:t>W</w:t>
      </w:r>
      <w:r w:rsidR="00780BDF">
        <w:t xml:space="preserve">here the Participating Organisation </w:t>
      </w:r>
      <w:r w:rsidR="00F750A3">
        <w:t xml:space="preserve">lacks </w:t>
      </w:r>
      <w:r w:rsidR="00A8412A">
        <w:t>the necessary capability, for example, to collect starting materials</w:t>
      </w:r>
      <w:r w:rsidR="00055EE6">
        <w:t xml:space="preserve"> from patients</w:t>
      </w:r>
      <w:r w:rsidR="00A8412A">
        <w:t xml:space="preserve"> </w:t>
      </w:r>
      <w:r w:rsidR="00055EE6">
        <w:t>for the manufacture of the ATiMP, the Sponsor</w:t>
      </w:r>
      <w:r w:rsidR="004F026D">
        <w:t xml:space="preserve"> and Participating Organisation should seek to agree on whether the Sponsor will engage the services of a </w:t>
      </w:r>
      <w:proofErr w:type="gramStart"/>
      <w:r w:rsidR="004F026D">
        <w:t>third party</w:t>
      </w:r>
      <w:proofErr w:type="gramEnd"/>
      <w:r w:rsidR="004F026D">
        <w:t xml:space="preserve"> organisation</w:t>
      </w:r>
      <w:r w:rsidR="007F576D">
        <w:t xml:space="preserve">, potentially elsewhere in the NHS, or the Participating Organisation will </w:t>
      </w:r>
      <w:r w:rsidR="004C2B40">
        <w:t xml:space="preserve">sub-contract those responsibilities to the third party organisation itself.  In any event </w:t>
      </w:r>
      <w:r w:rsidR="00282453">
        <w:t>the ATiMP-</w:t>
      </w:r>
      <w:proofErr w:type="spellStart"/>
      <w:r w:rsidR="00282453">
        <w:t>mCTAs</w:t>
      </w:r>
      <w:proofErr w:type="spellEnd"/>
      <w:r w:rsidR="00282453">
        <w:t xml:space="preserve"> should not be modified to form a tripartite agreement with that third party organisation.</w:t>
      </w:r>
    </w:p>
    <w:p w14:paraId="42099AC0" w14:textId="30AAAE49" w:rsidR="00A20F7E" w:rsidRPr="00BA0115" w:rsidRDefault="00A20F7E" w:rsidP="00A20F7E">
      <w:pPr>
        <w:pStyle w:val="Normalnos"/>
        <w:ind w:left="567"/>
      </w:pPr>
      <w:r w:rsidRPr="00E109D4">
        <w:rPr>
          <w:b/>
        </w:rPr>
        <w:t>Clause 2: Principal Investigator and Personnel</w:t>
      </w:r>
    </w:p>
    <w:p w14:paraId="37FC2212" w14:textId="1EBFBD8F" w:rsidR="00E109D4" w:rsidRPr="00F05F26" w:rsidRDefault="00E109D4" w:rsidP="00A20F7E">
      <w:pPr>
        <w:ind w:left="567"/>
      </w:pPr>
      <w:r w:rsidRPr="00F05F26">
        <w:t xml:space="preserve">The </w:t>
      </w:r>
      <w:r>
        <w:t>P</w:t>
      </w:r>
      <w:r w:rsidRPr="00F05F26">
        <w:t xml:space="preserve">rincipal </w:t>
      </w:r>
      <w:r>
        <w:t>I</w:t>
      </w:r>
      <w:r w:rsidRPr="00F05F26">
        <w:t xml:space="preserve">nvestigator is not to be a signatory to the </w:t>
      </w:r>
      <w:r w:rsidR="00926D52">
        <w:t>ATiMP-</w:t>
      </w:r>
      <w:proofErr w:type="spellStart"/>
      <w:r w:rsidRPr="00F05F26">
        <w:t>mCTAs</w:t>
      </w:r>
      <w:proofErr w:type="spellEnd"/>
      <w:r w:rsidRPr="00F05F26">
        <w:t xml:space="preserve">. Clause 2 makes clear the obligation of the </w:t>
      </w:r>
      <w:r w:rsidR="001D09C8">
        <w:t>Participating Organisation</w:t>
      </w:r>
      <w:r w:rsidRPr="00F05F26">
        <w:t xml:space="preserve"> to </w:t>
      </w:r>
      <w:r w:rsidR="00364A35">
        <w:t>procure</w:t>
      </w:r>
      <w:r w:rsidRPr="00F05F26">
        <w:t xml:space="preserve"> the performance of the </w:t>
      </w:r>
      <w:r>
        <w:t>P</w:t>
      </w:r>
      <w:r w:rsidRPr="00F05F26">
        <w:t xml:space="preserve">rincipal </w:t>
      </w:r>
      <w:r>
        <w:t>I</w:t>
      </w:r>
      <w:r w:rsidRPr="00F05F26">
        <w:t xml:space="preserve">nvestigator with respect to the </w:t>
      </w:r>
      <w:r w:rsidR="001D09C8">
        <w:t>Participating Organisation</w:t>
      </w:r>
      <w:r w:rsidRPr="00F05F26">
        <w:t xml:space="preserve">’s obligations under the Agreement. </w:t>
      </w:r>
      <w:r w:rsidR="004D1B65">
        <w:t>Since</w:t>
      </w:r>
      <w:r w:rsidRPr="00F05F26">
        <w:t xml:space="preserve"> the March 2020 version</w:t>
      </w:r>
      <w:r w:rsidR="00926D52">
        <w:t xml:space="preserve"> of the </w:t>
      </w:r>
      <w:proofErr w:type="spellStart"/>
      <w:r w:rsidR="00926D52">
        <w:t>mCTAs</w:t>
      </w:r>
      <w:proofErr w:type="spellEnd"/>
      <w:r w:rsidR="00685FCE">
        <w:t>,</w:t>
      </w:r>
      <w:r w:rsidRPr="00F05F26">
        <w:t xml:space="preserve"> this obligation </w:t>
      </w:r>
      <w:r w:rsidR="004D1B65">
        <w:t>has</w:t>
      </w:r>
      <w:r w:rsidRPr="00F05F26">
        <w:t xml:space="preserve"> extend</w:t>
      </w:r>
      <w:r w:rsidR="004D1B65">
        <w:t>ed</w:t>
      </w:r>
      <w:r w:rsidRPr="00F05F26">
        <w:t xml:space="preserve"> to procuring the services of </w:t>
      </w:r>
      <w:r>
        <w:t>S</w:t>
      </w:r>
      <w:r w:rsidRPr="00F05F26">
        <w:t>ub-</w:t>
      </w:r>
      <w:r>
        <w:t>I</w:t>
      </w:r>
      <w:r w:rsidRPr="00F05F26">
        <w:t xml:space="preserve">nvestigators and other personnel. The </w:t>
      </w:r>
      <w:proofErr w:type="spellStart"/>
      <w:r w:rsidR="001427E5">
        <w:t>ATimP-</w:t>
      </w:r>
      <w:r w:rsidRPr="00F05F26">
        <w:t>mCTAs</w:t>
      </w:r>
      <w:proofErr w:type="spellEnd"/>
      <w:r w:rsidRPr="00F05F26">
        <w:t xml:space="preserve"> do not seek to amend the well-understood and established obligations of </w:t>
      </w:r>
      <w:r>
        <w:t>P</w:t>
      </w:r>
      <w:r w:rsidRPr="00F05F26">
        <w:t xml:space="preserve">rincipal </w:t>
      </w:r>
      <w:r>
        <w:t>I</w:t>
      </w:r>
      <w:r w:rsidRPr="00F05F26">
        <w:t xml:space="preserve">nvestigators. </w:t>
      </w:r>
      <w:r w:rsidR="001D09C8">
        <w:t>Participating Organisations</w:t>
      </w:r>
      <w:r w:rsidRPr="00F05F26">
        <w:t xml:space="preserve"> should bring these responsibilities to the attention of </w:t>
      </w:r>
      <w:r>
        <w:t>P</w:t>
      </w:r>
      <w:r w:rsidRPr="00F05F26">
        <w:t xml:space="preserve">rincipal </w:t>
      </w:r>
      <w:r>
        <w:t>I</w:t>
      </w:r>
      <w:r w:rsidRPr="00F05F26">
        <w:t xml:space="preserve">nvestigators </w:t>
      </w:r>
      <w:proofErr w:type="gramStart"/>
      <w:r w:rsidRPr="00F05F26">
        <w:t>in the course of</w:t>
      </w:r>
      <w:proofErr w:type="gramEnd"/>
      <w:r w:rsidRPr="00F05F26">
        <w:t xml:space="preserve"> research governance training.</w:t>
      </w:r>
    </w:p>
    <w:p w14:paraId="37ADDC7F" w14:textId="0198CE16" w:rsidR="00E109D4" w:rsidRPr="00F05F26" w:rsidRDefault="00E109D4" w:rsidP="00A20F7E">
      <w:pPr>
        <w:ind w:left="567"/>
      </w:pPr>
      <w:r w:rsidRPr="00F05F26">
        <w:t xml:space="preserve">As the obligations of the </w:t>
      </w:r>
      <w:r w:rsidR="001D09C8">
        <w:t>Participating Organisation</w:t>
      </w:r>
      <w:r w:rsidRPr="00F05F26">
        <w:t xml:space="preserve"> will be fulfilled through the work of the </w:t>
      </w:r>
      <w:r>
        <w:t>P</w:t>
      </w:r>
      <w:r w:rsidRPr="00F05F26">
        <w:t xml:space="preserve">rincipal </w:t>
      </w:r>
      <w:r>
        <w:t>I</w:t>
      </w:r>
      <w:r w:rsidRPr="00F05F26">
        <w:t xml:space="preserve">nvestigator, it is important that the </w:t>
      </w:r>
      <w:r w:rsidR="001D09C8">
        <w:t>Participating Organisation</w:t>
      </w:r>
      <w:r w:rsidRPr="00F05F26">
        <w:t xml:space="preserve"> incorporates the obligations of the </w:t>
      </w:r>
      <w:r>
        <w:t>P</w:t>
      </w:r>
      <w:r w:rsidRPr="00F05F26">
        <w:t xml:space="preserve">rincipal </w:t>
      </w:r>
      <w:r>
        <w:t>I</w:t>
      </w:r>
      <w:r w:rsidRPr="00F05F26">
        <w:t xml:space="preserve">nvestigator and other investigators set out in the </w:t>
      </w:r>
      <w:r w:rsidR="00B9049E">
        <w:t>ATiMP-</w:t>
      </w:r>
      <w:proofErr w:type="spellStart"/>
      <w:r w:rsidRPr="00F05F26">
        <w:t>mCTAs</w:t>
      </w:r>
      <w:proofErr w:type="spellEnd"/>
      <w:r w:rsidRPr="00F05F26">
        <w:t xml:space="preserve">, into a separate agreement (in a form that is at the discretion of the </w:t>
      </w:r>
      <w:r w:rsidR="001D09C8">
        <w:t>Participating Organisation</w:t>
      </w:r>
      <w:r w:rsidRPr="00F05F26">
        <w:t xml:space="preserve">) between the </w:t>
      </w:r>
      <w:r w:rsidR="001D09C8">
        <w:t>Participating Organisation</w:t>
      </w:r>
      <w:r w:rsidRPr="00F05F26">
        <w:t xml:space="preserve"> and the </w:t>
      </w:r>
      <w:r>
        <w:t>P</w:t>
      </w:r>
      <w:r w:rsidRPr="00F05F26">
        <w:t xml:space="preserve">rincipal </w:t>
      </w:r>
      <w:r>
        <w:t>I</w:t>
      </w:r>
      <w:r w:rsidRPr="00F05F26">
        <w:t>nvestigator.</w:t>
      </w:r>
    </w:p>
    <w:p w14:paraId="663D96F5" w14:textId="0161FB1B" w:rsidR="00E109D4" w:rsidRPr="00F05F26" w:rsidRDefault="00E109D4" w:rsidP="00A20F7E">
      <w:pPr>
        <w:ind w:left="567"/>
      </w:pPr>
      <w:r w:rsidRPr="00F05F26">
        <w:t xml:space="preserve">It is prudent for the clinical trial activities to be included in the work plans of the </w:t>
      </w:r>
      <w:r w:rsidR="00467F5F">
        <w:t>P</w:t>
      </w:r>
      <w:r w:rsidRPr="00F05F26">
        <w:t xml:space="preserve">rincipal </w:t>
      </w:r>
      <w:r w:rsidR="00467F5F">
        <w:t>I</w:t>
      </w:r>
      <w:r w:rsidRPr="00F05F26">
        <w:t xml:space="preserve">nvestigator and any </w:t>
      </w:r>
      <w:r w:rsidR="00467F5F">
        <w:t>S</w:t>
      </w:r>
      <w:r w:rsidRPr="00F05F26">
        <w:t>ub-</w:t>
      </w:r>
      <w:r w:rsidR="00467F5F">
        <w:t>I</w:t>
      </w:r>
      <w:r w:rsidRPr="00F05F26">
        <w:t xml:space="preserve">nvestigators. The </w:t>
      </w:r>
      <w:r w:rsidR="001D09C8">
        <w:t>Participating Organisation</w:t>
      </w:r>
      <w:r w:rsidRPr="00F05F26">
        <w:t xml:space="preserve"> may seek assurances from the </w:t>
      </w:r>
      <w:r w:rsidR="00467F5F">
        <w:t>P</w:t>
      </w:r>
      <w:r w:rsidRPr="00F05F26">
        <w:t xml:space="preserve">rincipal </w:t>
      </w:r>
      <w:r w:rsidR="00467F5F">
        <w:t>I</w:t>
      </w:r>
      <w:r w:rsidRPr="00F05F26">
        <w:t xml:space="preserve">nvestigator and any </w:t>
      </w:r>
      <w:r w:rsidR="00467F5F">
        <w:t>S</w:t>
      </w:r>
      <w:r w:rsidRPr="00F05F26">
        <w:t>ub-</w:t>
      </w:r>
      <w:r w:rsidR="00467F5F">
        <w:t>I</w:t>
      </w:r>
      <w:r w:rsidRPr="00F05F26">
        <w:t xml:space="preserve">nvestigators to satisfy the conditions of the </w:t>
      </w:r>
      <w:r w:rsidR="00B9049E">
        <w:t>ATiMP-</w:t>
      </w:r>
      <w:proofErr w:type="spellStart"/>
      <w:r w:rsidRPr="00F05F26">
        <w:t>mCTAs</w:t>
      </w:r>
      <w:proofErr w:type="spellEnd"/>
      <w:r w:rsidRPr="00F05F26">
        <w:t>.</w:t>
      </w:r>
    </w:p>
    <w:p w14:paraId="16B3106A" w14:textId="0F36E3C2" w:rsidR="00BA0115" w:rsidRPr="00BA0115" w:rsidRDefault="00BA0115" w:rsidP="00BA0115">
      <w:pPr>
        <w:pStyle w:val="Normalnos"/>
        <w:ind w:left="567"/>
      </w:pPr>
      <w:r w:rsidRPr="00467F5F">
        <w:rPr>
          <w:b/>
        </w:rPr>
        <w:t>Clause 2.5: Attendance at Investigator Meetings and Reimbursement of</w:t>
      </w:r>
      <w:r w:rsidRPr="008B39DD">
        <w:t xml:space="preserve"> </w:t>
      </w:r>
      <w:r w:rsidRPr="00467F5F">
        <w:rPr>
          <w:b/>
        </w:rPr>
        <w:t>Expenses</w:t>
      </w:r>
    </w:p>
    <w:p w14:paraId="6D7A570B" w14:textId="6E896096" w:rsidR="00467F5F" w:rsidRDefault="00467F5F" w:rsidP="00BA0115">
      <w:pPr>
        <w:ind w:left="567"/>
      </w:pPr>
      <w:r w:rsidRPr="008B39DD">
        <w:t xml:space="preserve">Clause 2.5 sets out an obligation on the </w:t>
      </w:r>
      <w:r>
        <w:t>P</w:t>
      </w:r>
      <w:r w:rsidRPr="008B39DD">
        <w:t xml:space="preserve">rincipal </w:t>
      </w:r>
      <w:r>
        <w:t>I</w:t>
      </w:r>
      <w:r w:rsidRPr="008B39DD">
        <w:t xml:space="preserve">nvestigator and/or the personnel to attend meetings reasonably requested by the </w:t>
      </w:r>
      <w:r w:rsidR="001D09C8">
        <w:t>Sponsor</w:t>
      </w:r>
      <w:r w:rsidRPr="008B39DD">
        <w:t xml:space="preserve"> (or CRO). It should be noted that no compensation will be paid for attendance at such meetings and any expenses incurred will be paid at the rate of fair market value, subject to documentation evidencing the expenses incurred being in sufficient detail to for the </w:t>
      </w:r>
      <w:r w:rsidR="001D09C8">
        <w:t>Sponsor</w:t>
      </w:r>
      <w:r w:rsidRPr="008B39DD">
        <w:t xml:space="preserve">’s financial reporting purposes (or those of the CRO, as applicable), </w:t>
      </w:r>
      <w:proofErr w:type="gramStart"/>
      <w:r w:rsidRPr="008B39DD">
        <w:t>provided that</w:t>
      </w:r>
      <w:proofErr w:type="gramEnd"/>
      <w:r w:rsidRPr="008B39DD">
        <w:t xml:space="preserve"> this is not overly burdensome for the </w:t>
      </w:r>
      <w:r w:rsidR="001D09C8">
        <w:t>Participating Organisation</w:t>
      </w:r>
      <w:r w:rsidRPr="008B39DD">
        <w:t>.</w:t>
      </w:r>
    </w:p>
    <w:p w14:paraId="69E632CC" w14:textId="68874764" w:rsidR="00BA0115" w:rsidRPr="00BA0115" w:rsidRDefault="00BA0115" w:rsidP="00BA0115">
      <w:pPr>
        <w:pStyle w:val="Normalnos"/>
        <w:ind w:left="567"/>
      </w:pPr>
      <w:r w:rsidRPr="00467F5F">
        <w:rPr>
          <w:b/>
        </w:rPr>
        <w:t xml:space="preserve">Clause 3.2 </w:t>
      </w:r>
      <w:r>
        <w:rPr>
          <w:b/>
        </w:rPr>
        <w:t>and</w:t>
      </w:r>
      <w:r w:rsidRPr="00467F5F">
        <w:rPr>
          <w:b/>
        </w:rPr>
        <w:t xml:space="preserve"> 3.3: Governance</w:t>
      </w:r>
    </w:p>
    <w:p w14:paraId="4F95F227" w14:textId="5FD71249" w:rsidR="00BA0115" w:rsidRPr="008B39DD" w:rsidRDefault="00BA0115" w:rsidP="00BA0115">
      <w:pPr>
        <w:ind w:left="567"/>
      </w:pPr>
      <w:r w:rsidRPr="008B39DD">
        <w:t xml:space="preserve">These Clauses set out the minimum compliance requirements for the conduct of trials, including in respect of </w:t>
      </w:r>
      <w:r>
        <w:t>domestic</w:t>
      </w:r>
      <w:r w:rsidRPr="008B39DD">
        <w:t xml:space="preserve"> law and </w:t>
      </w:r>
      <w:r>
        <w:t>investigational new drug (</w:t>
      </w:r>
      <w:r w:rsidRPr="008B39DD">
        <w:t>IND</w:t>
      </w:r>
      <w:r>
        <w:t>)</w:t>
      </w:r>
      <w:r w:rsidRPr="008B39DD">
        <w:t xml:space="preserve"> in respect of trials conducted by US companies</w:t>
      </w:r>
      <w:r w:rsidR="00C6500F">
        <w:t xml:space="preserve"> </w:t>
      </w:r>
      <w:proofErr w:type="gramStart"/>
      <w:r w:rsidR="00C6500F">
        <w:t>and also</w:t>
      </w:r>
      <w:proofErr w:type="gramEnd"/>
      <w:r w:rsidR="00C6500F">
        <w:t xml:space="preserve"> includ</w:t>
      </w:r>
      <w:r w:rsidR="00B73356">
        <w:t>es</w:t>
      </w:r>
      <w:r w:rsidR="00C6500F">
        <w:t xml:space="preserve"> references to the specific regulations governing the collection and use of </w:t>
      </w:r>
      <w:r w:rsidR="00665260">
        <w:t>human blood products and human cells and tissues as starting materials for the manufacture of the ATiMP</w:t>
      </w:r>
      <w:r w:rsidR="00B73356">
        <w:t xml:space="preserve"> as well as ATiMP-specific </w:t>
      </w:r>
      <w:r w:rsidR="00C442A4">
        <w:t>GCP and GMP guidance</w:t>
      </w:r>
      <w:r w:rsidRPr="008B39DD">
        <w:t>. However</w:t>
      </w:r>
      <w:r>
        <w:t>,</w:t>
      </w:r>
      <w:r w:rsidRPr="008B39DD">
        <w:t xml:space="preserve"> it is essential that </w:t>
      </w:r>
      <w:r>
        <w:t>Sponsors</w:t>
      </w:r>
      <w:r w:rsidRPr="008B39DD">
        <w:t xml:space="preserve"> (or CROs, where applicable) notify </w:t>
      </w:r>
      <w:r>
        <w:t>Participating Organisations</w:t>
      </w:r>
      <w:r w:rsidRPr="008B39DD">
        <w:t xml:space="preserve"> of specific requirements that relate to the performance of trials and that arise from such laws.</w:t>
      </w:r>
      <w:r w:rsidR="00C442A4">
        <w:t xml:space="preserve">  The definition of Protocol includes </w:t>
      </w:r>
      <w:r w:rsidR="00B040B9">
        <w:t>reference to the written instructions for the collection of starting materials and the administration of the ATiMP.</w:t>
      </w:r>
    </w:p>
    <w:p w14:paraId="55FB74DB" w14:textId="5E8E81A7" w:rsidR="00BA0115" w:rsidRPr="00BA0115" w:rsidRDefault="00BA0115" w:rsidP="00BA0115">
      <w:pPr>
        <w:pStyle w:val="Normalnos"/>
        <w:ind w:left="567"/>
      </w:pPr>
      <w:r w:rsidRPr="00467F5F">
        <w:rPr>
          <w:b/>
        </w:rPr>
        <w:t>Clause 3.3.7</w:t>
      </w:r>
      <w:r>
        <w:rPr>
          <w:b/>
        </w:rPr>
        <w:t>:</w:t>
      </w:r>
      <w:r w:rsidRPr="00467F5F">
        <w:rPr>
          <w:b/>
        </w:rPr>
        <w:t xml:space="preserve"> WHO Ethical Principles</w:t>
      </w:r>
    </w:p>
    <w:p w14:paraId="75E8ADB4" w14:textId="77777777" w:rsidR="00BA0115" w:rsidRPr="008B39DD" w:rsidRDefault="00BA0115" w:rsidP="00BA0115">
      <w:pPr>
        <w:ind w:left="567"/>
      </w:pPr>
      <w:r w:rsidRPr="008B39DD">
        <w:t xml:space="preserve">This reference to the WHO Ethical Principles is intended for use where the clinical trial involves transplantation of human cells, </w:t>
      </w:r>
      <w:proofErr w:type="gramStart"/>
      <w:r w:rsidRPr="008B39DD">
        <w:t>tissue</w:t>
      </w:r>
      <w:proofErr w:type="gramEnd"/>
      <w:r w:rsidRPr="008B39DD">
        <w:t xml:space="preserve"> or organs. It is an optional reference</w:t>
      </w:r>
      <w:r>
        <w:t>,</w:t>
      </w:r>
      <w:r w:rsidRPr="008B39DD">
        <w:t xml:space="preserve"> to be deleted if not applicable to the Clinical Trial.</w:t>
      </w:r>
    </w:p>
    <w:p w14:paraId="5DF3250A" w14:textId="229AA6C1" w:rsidR="00BA0115" w:rsidRPr="00BA0115" w:rsidRDefault="00BA0115" w:rsidP="00BA0115">
      <w:pPr>
        <w:pStyle w:val="Normalnos"/>
        <w:ind w:left="567"/>
      </w:pPr>
      <w:r w:rsidRPr="00467F5F">
        <w:rPr>
          <w:b/>
        </w:rPr>
        <w:t>Clause 3.7.1: Adverse Event Reporting</w:t>
      </w:r>
    </w:p>
    <w:p w14:paraId="4ABE9FB7" w14:textId="76578D30" w:rsidR="00BA0115" w:rsidRPr="008B39DD" w:rsidRDefault="00BA0115" w:rsidP="00BA0115">
      <w:pPr>
        <w:ind w:left="567"/>
      </w:pPr>
      <w:r w:rsidRPr="008B39DD">
        <w:t xml:space="preserve">To facilitate use of the </w:t>
      </w:r>
      <w:proofErr w:type="spellStart"/>
      <w:r w:rsidRPr="008B39DD">
        <w:t>mCTAs</w:t>
      </w:r>
      <w:proofErr w:type="spellEnd"/>
      <w:r w:rsidRPr="008B39DD">
        <w:t xml:space="preserve"> for Phase I trials in NHS patients, </w:t>
      </w:r>
      <w:r w:rsidR="00C903B7">
        <w:t>C</w:t>
      </w:r>
      <w:r w:rsidRPr="008B39DD">
        <w:t xml:space="preserve">lauses setting out obligations in relation to adverse event reporting have been included. These </w:t>
      </w:r>
      <w:r w:rsidR="00C903B7">
        <w:t>C</w:t>
      </w:r>
      <w:r w:rsidRPr="008B39DD">
        <w:t xml:space="preserve">lauses </w:t>
      </w:r>
      <w:r>
        <w:t>are only</w:t>
      </w:r>
      <w:r w:rsidRPr="008B39DD">
        <w:t xml:space="preserve"> applicable where the Clinical Trial is a Phase I Clinical Trial </w:t>
      </w:r>
      <w:r>
        <w:t>and</w:t>
      </w:r>
      <w:r w:rsidRPr="008B39DD">
        <w:t xml:space="preserve"> should be deleted if not applicable. </w:t>
      </w:r>
      <w:r w:rsidRPr="00BA0115">
        <w:rPr>
          <w:b/>
          <w:bCs/>
        </w:rPr>
        <w:t>Note</w:t>
      </w:r>
      <w:r w:rsidRPr="008B39DD">
        <w:t xml:space="preserve">: The </w:t>
      </w:r>
      <w:proofErr w:type="spellStart"/>
      <w:r w:rsidRPr="008B39DD">
        <w:t>mCTAs</w:t>
      </w:r>
      <w:proofErr w:type="spellEnd"/>
      <w:r w:rsidRPr="008B39DD">
        <w:t xml:space="preserve"> should not be used for Phase I trials involving healthy volunteers.</w:t>
      </w:r>
    </w:p>
    <w:p w14:paraId="733A04D0" w14:textId="176D989E" w:rsidR="00BA0115" w:rsidRPr="00BA0115" w:rsidRDefault="00BA0115" w:rsidP="00BA0115">
      <w:pPr>
        <w:pStyle w:val="Normalnos"/>
        <w:ind w:left="567"/>
      </w:pPr>
      <w:r w:rsidRPr="00E83A74">
        <w:rPr>
          <w:b/>
          <w:bCs/>
        </w:rPr>
        <w:t>Clause 3.8: Anti-Bribery and Corruption</w:t>
      </w:r>
    </w:p>
    <w:p w14:paraId="1184CC7B" w14:textId="2E816AD1" w:rsidR="00BA0115" w:rsidRPr="00FD7F92" w:rsidRDefault="00BA0115" w:rsidP="00BA0115">
      <w:pPr>
        <w:ind w:left="567"/>
      </w:pPr>
      <w:r>
        <w:t xml:space="preserve">Modifications to this </w:t>
      </w:r>
      <w:r w:rsidR="00C903B7">
        <w:t>C</w:t>
      </w:r>
      <w:r>
        <w:t>lause to reference the Foreign and Corrupt Practises Act of the USA, or any other foreign law, should not be proposed and will not be agreed. Compliance with the Bribery Act 2010 should provide adequate assurance to foreign Sponsors (and CROs) in relation to their own compliance with foreign law.</w:t>
      </w:r>
    </w:p>
    <w:p w14:paraId="075A66E1" w14:textId="5214E05D" w:rsidR="008211F2" w:rsidRPr="00BA0115" w:rsidRDefault="008211F2" w:rsidP="008211F2">
      <w:pPr>
        <w:pStyle w:val="Normalnos"/>
        <w:ind w:left="567"/>
      </w:pPr>
      <w:r w:rsidRPr="00E83A74">
        <w:rPr>
          <w:b/>
          <w:bCs/>
        </w:rPr>
        <w:t xml:space="preserve">Clause </w:t>
      </w:r>
      <w:r>
        <w:rPr>
          <w:b/>
          <w:bCs/>
        </w:rPr>
        <w:t>4</w:t>
      </w:r>
      <w:r w:rsidRPr="00E83A74">
        <w:rPr>
          <w:b/>
          <w:bCs/>
        </w:rPr>
        <w:t xml:space="preserve">: </w:t>
      </w:r>
      <w:r>
        <w:rPr>
          <w:b/>
          <w:bCs/>
        </w:rPr>
        <w:t>Conduct of Clinical Trial and Long-Term Follow-Up</w:t>
      </w:r>
    </w:p>
    <w:p w14:paraId="32296F53" w14:textId="474D4941" w:rsidR="008211F2" w:rsidRPr="00FD7F92" w:rsidRDefault="00C920F7" w:rsidP="008211F2">
      <w:pPr>
        <w:ind w:left="567"/>
      </w:pPr>
      <w:r>
        <w:t xml:space="preserve">The Sponsor of a Clinical Trial involving </w:t>
      </w:r>
      <w:r w:rsidR="00A81696">
        <w:t>an ATiMP is likely to be required to conduct the long-term</w:t>
      </w:r>
      <w:r w:rsidR="00F35DEC">
        <w:t xml:space="preserve"> follow-up of the Clinical Trial Subject involved</w:t>
      </w:r>
      <w:r w:rsidR="008211F2">
        <w:t>.</w:t>
      </w:r>
      <w:r w:rsidR="00F35DEC">
        <w:t xml:space="preserve">  The Sponsor should therefore consider whether it is appropriate to allow for this under the ATiMP-</w:t>
      </w:r>
      <w:proofErr w:type="spellStart"/>
      <w:r w:rsidR="00F35DEC">
        <w:t>mCTAs</w:t>
      </w:r>
      <w:proofErr w:type="spellEnd"/>
      <w:r w:rsidR="00F35DEC">
        <w:t xml:space="preserve"> as part of the services provided or to enter into a separate agreement for such monitoring.</w:t>
      </w:r>
    </w:p>
    <w:p w14:paraId="58AFA27A" w14:textId="382E6385" w:rsidR="005761C2" w:rsidRPr="00BA0115" w:rsidRDefault="005761C2" w:rsidP="005761C2">
      <w:pPr>
        <w:pStyle w:val="Normalnos"/>
        <w:ind w:left="567"/>
      </w:pPr>
      <w:r w:rsidRPr="00E83A74">
        <w:rPr>
          <w:b/>
          <w:bCs/>
        </w:rPr>
        <w:t xml:space="preserve">Clause </w:t>
      </w:r>
      <w:r>
        <w:rPr>
          <w:b/>
          <w:bCs/>
        </w:rPr>
        <w:t>4.3</w:t>
      </w:r>
      <w:r w:rsidRPr="00E83A74">
        <w:rPr>
          <w:b/>
          <w:bCs/>
        </w:rPr>
        <w:t xml:space="preserve">: </w:t>
      </w:r>
      <w:r>
        <w:rPr>
          <w:b/>
          <w:bCs/>
        </w:rPr>
        <w:t>Regulatory Approvals</w:t>
      </w:r>
    </w:p>
    <w:p w14:paraId="64F8FF14" w14:textId="34BF4095" w:rsidR="005761C2" w:rsidRPr="00FD7F92" w:rsidRDefault="00B77B1A" w:rsidP="005761C2">
      <w:pPr>
        <w:ind w:left="567"/>
      </w:pPr>
      <w:r>
        <w:t xml:space="preserve">In addition to the Clinical Trial Authorisation issued </w:t>
      </w:r>
      <w:r w:rsidR="00CD1D4A">
        <w:t xml:space="preserve">by the MHRA, the Sponsor and Participating Organisation should ensure that </w:t>
      </w:r>
      <w:r w:rsidR="002229AC">
        <w:t>the collection</w:t>
      </w:r>
      <w:r w:rsidR="00D2711D">
        <w:t xml:space="preserve">, testing, </w:t>
      </w:r>
      <w:proofErr w:type="gramStart"/>
      <w:r w:rsidR="00D2711D">
        <w:t>storage</w:t>
      </w:r>
      <w:proofErr w:type="gramEnd"/>
      <w:r w:rsidR="00D2711D">
        <w:t xml:space="preserve"> and shipment</w:t>
      </w:r>
      <w:r w:rsidR="002229AC">
        <w:t xml:space="preserve"> of Starting Materials is covered</w:t>
      </w:r>
      <w:r w:rsidR="00D2711D">
        <w:t>, where necessary,</w:t>
      </w:r>
      <w:r w:rsidR="002229AC">
        <w:t xml:space="preserve"> by an appropriate licence from the Human Ti</w:t>
      </w:r>
      <w:r w:rsidR="00D2711D">
        <w:t>ssue Authority</w:t>
      </w:r>
      <w:r w:rsidR="00B26F7B">
        <w:t xml:space="preserve"> or MHRA</w:t>
      </w:r>
      <w:r w:rsidR="005761C2">
        <w:t>.</w:t>
      </w:r>
      <w:r w:rsidR="00D2711D">
        <w:t xml:space="preserve">  This licence may be held by the </w:t>
      </w:r>
      <w:r w:rsidR="00D50AA4">
        <w:t>Sponsor or the Participating Organisation depending on the circumstances and the ATiMP-</w:t>
      </w:r>
      <w:proofErr w:type="spellStart"/>
      <w:r w:rsidR="00D50AA4">
        <w:t>mCTAs</w:t>
      </w:r>
      <w:proofErr w:type="spellEnd"/>
      <w:r w:rsidR="00D50AA4">
        <w:t xml:space="preserve"> </w:t>
      </w:r>
      <w:r w:rsidR="00CC1273">
        <w:t>have alternative drafting to cover the different possible scenarios.</w:t>
      </w:r>
    </w:p>
    <w:p w14:paraId="00920B28" w14:textId="324743DC" w:rsidR="00BA0115" w:rsidRPr="00BA0115" w:rsidRDefault="00BA0115" w:rsidP="00BA0115">
      <w:pPr>
        <w:pStyle w:val="Normalnos"/>
        <w:ind w:left="567"/>
      </w:pPr>
      <w:proofErr w:type="spellStart"/>
      <w:r>
        <w:rPr>
          <w:b/>
        </w:rPr>
        <w:t>mCTA</w:t>
      </w:r>
      <w:proofErr w:type="spellEnd"/>
      <w:r>
        <w:rPr>
          <w:b/>
        </w:rPr>
        <w:t xml:space="preserve"> </w:t>
      </w:r>
      <w:r w:rsidRPr="00467F5F">
        <w:rPr>
          <w:b/>
        </w:rPr>
        <w:t>Clause 4.7</w:t>
      </w:r>
      <w:r>
        <w:rPr>
          <w:b/>
        </w:rPr>
        <w:t xml:space="preserve"> (CRO-</w:t>
      </w:r>
      <w:proofErr w:type="spellStart"/>
      <w:r>
        <w:rPr>
          <w:b/>
        </w:rPr>
        <w:t>mCTA</w:t>
      </w:r>
      <w:proofErr w:type="spellEnd"/>
      <w:r>
        <w:rPr>
          <w:b/>
        </w:rPr>
        <w:t xml:space="preserve"> Clause 4.8)</w:t>
      </w:r>
      <w:r w:rsidRPr="00467F5F">
        <w:rPr>
          <w:b/>
        </w:rPr>
        <w:t xml:space="preserve">: No Supply of Investigational Drugs by the </w:t>
      </w:r>
      <w:r>
        <w:rPr>
          <w:b/>
        </w:rPr>
        <w:t>Sponsor (or CRO)</w:t>
      </w:r>
      <w:r w:rsidRPr="00467F5F">
        <w:rPr>
          <w:b/>
        </w:rPr>
        <w:t xml:space="preserve"> Prior to Approval</w:t>
      </w:r>
    </w:p>
    <w:p w14:paraId="730322EA" w14:textId="6760E50D" w:rsidR="00BA0115" w:rsidRPr="00BA0115" w:rsidRDefault="00BA0115" w:rsidP="00BA0115">
      <w:pPr>
        <w:ind w:left="567"/>
      </w:pPr>
      <w:r w:rsidRPr="008B39DD">
        <w:t xml:space="preserve">Clause 4.7 </w:t>
      </w:r>
      <w:r>
        <w:t>(CRO-</w:t>
      </w:r>
      <w:proofErr w:type="spellStart"/>
      <w:r>
        <w:t>mCTA</w:t>
      </w:r>
      <w:proofErr w:type="spellEnd"/>
      <w:r>
        <w:t xml:space="preserve"> Clause 4.8) </w:t>
      </w:r>
      <w:r w:rsidRPr="008B39DD">
        <w:t>requires</w:t>
      </w:r>
      <w:r w:rsidR="00BD2513">
        <w:t xml:space="preserve"> Participating Organisation to delay collection of any Starting Materials and</w:t>
      </w:r>
      <w:r w:rsidRPr="008B39DD">
        <w:t xml:space="preserve"> </w:t>
      </w:r>
      <w:r>
        <w:t>Sponsors</w:t>
      </w:r>
      <w:r w:rsidRPr="008B39DD">
        <w:t xml:space="preserve"> (and CROs, as applicable) to delay supply of investigational drugs supplied by the </w:t>
      </w:r>
      <w:r>
        <w:t>Sponsor</w:t>
      </w:r>
      <w:r w:rsidRPr="008B39DD">
        <w:t xml:space="preserve"> (in addition to the previous requirement in relation to supply of the IMPs), to the relevant site(s), until all regulatory and ethics approvals have been obtained</w:t>
      </w:r>
      <w:r w:rsidR="00F2466B">
        <w:t xml:space="preserve"> together with any ancillary agreements, such as any Quality Agreement and any Third Party Agreement</w:t>
      </w:r>
      <w:r w:rsidRPr="008B39DD">
        <w:t xml:space="preserve">. </w:t>
      </w:r>
      <w:r w:rsidR="002C56FE">
        <w:t>The Spons</w:t>
      </w:r>
      <w:r w:rsidR="00104F2A">
        <w:t xml:space="preserve">or </w:t>
      </w:r>
      <w:r w:rsidR="00843179">
        <w:t xml:space="preserve">should also consider whether a Quality Agreement is needed </w:t>
      </w:r>
      <w:proofErr w:type="gramStart"/>
      <w:r w:rsidR="00843179">
        <w:t>in light of</w:t>
      </w:r>
      <w:proofErr w:type="gramEnd"/>
      <w:r w:rsidR="00843179">
        <w:t xml:space="preserve"> the specific IMP or simply a material transfer agreement or instructions to the Participating Organisation on collection of Starting Material.  </w:t>
      </w:r>
      <w:r w:rsidRPr="008B39DD">
        <w:t xml:space="preserve">There is an obligation on the </w:t>
      </w:r>
      <w:r>
        <w:t>Participating Organisation</w:t>
      </w:r>
      <w:r w:rsidRPr="008B39DD">
        <w:t xml:space="preserve"> to ensure that no non-routine clinical interventions mandated by the </w:t>
      </w:r>
      <w:r>
        <w:t>Protocol</w:t>
      </w:r>
      <w:r w:rsidRPr="008B39DD">
        <w:t xml:space="preserve"> take place before receipt of final, written ethical and regulatory approval</w:t>
      </w:r>
      <w:r w:rsidR="006754A5">
        <w:t xml:space="preserve"> and arrangements for collection of Starting Materials in accordance with GMP</w:t>
      </w:r>
      <w:r w:rsidR="00935AB5">
        <w:t xml:space="preserve"> and UK legislation are in place with responsibilities properly allocated</w:t>
      </w:r>
      <w:r w:rsidRPr="008B39DD">
        <w:t>.</w:t>
      </w:r>
    </w:p>
    <w:p w14:paraId="31441751" w14:textId="082D6C1E" w:rsidR="00BA0115" w:rsidRPr="00BA0115" w:rsidRDefault="00BA0115" w:rsidP="00BA0115">
      <w:pPr>
        <w:pStyle w:val="Normalnos"/>
        <w:ind w:left="567"/>
      </w:pPr>
      <w:proofErr w:type="spellStart"/>
      <w:r w:rsidRPr="00467F5F">
        <w:rPr>
          <w:b/>
        </w:rPr>
        <w:t>mCTA</w:t>
      </w:r>
      <w:proofErr w:type="spellEnd"/>
      <w:r w:rsidRPr="00467F5F">
        <w:rPr>
          <w:b/>
        </w:rPr>
        <w:t xml:space="preserve"> Clause 4.1</w:t>
      </w:r>
      <w:r>
        <w:rPr>
          <w:b/>
        </w:rPr>
        <w:t>2</w:t>
      </w:r>
      <w:r w:rsidRPr="00467F5F">
        <w:rPr>
          <w:b/>
        </w:rPr>
        <w:t xml:space="preserve"> (CRO-</w:t>
      </w:r>
      <w:proofErr w:type="spellStart"/>
      <w:r w:rsidRPr="00467F5F">
        <w:rPr>
          <w:b/>
        </w:rPr>
        <w:t>mCTA</w:t>
      </w:r>
      <w:proofErr w:type="spellEnd"/>
      <w:r w:rsidRPr="00467F5F">
        <w:rPr>
          <w:b/>
        </w:rPr>
        <w:t xml:space="preserve"> 4.1</w:t>
      </w:r>
      <w:r>
        <w:rPr>
          <w:b/>
        </w:rPr>
        <w:t>3</w:t>
      </w:r>
      <w:r w:rsidRPr="00467F5F">
        <w:rPr>
          <w:b/>
        </w:rPr>
        <w:t>)</w:t>
      </w:r>
    </w:p>
    <w:p w14:paraId="274B4F88" w14:textId="7D39C2DF" w:rsidR="00BA0115" w:rsidRDefault="00BA0115" w:rsidP="00BA0115">
      <w:pPr>
        <w:ind w:left="567"/>
      </w:pPr>
      <w:r w:rsidRPr="008B39DD">
        <w:t xml:space="preserve">Reflecting different types of clinical trial and differing </w:t>
      </w:r>
      <w:r>
        <w:t>Sponsor</w:t>
      </w:r>
      <w:r w:rsidRPr="008B39DD">
        <w:t xml:space="preserve"> requirements, </w:t>
      </w:r>
      <w:proofErr w:type="spellStart"/>
      <w:r>
        <w:t>mCTA</w:t>
      </w:r>
      <w:proofErr w:type="spellEnd"/>
      <w:r>
        <w:t xml:space="preserve"> </w:t>
      </w:r>
      <w:r w:rsidRPr="008B39DD">
        <w:t>4.1</w:t>
      </w:r>
      <w:r>
        <w:t>2 (CRO-</w:t>
      </w:r>
      <w:proofErr w:type="spellStart"/>
      <w:r>
        <w:t>mCTA</w:t>
      </w:r>
      <w:proofErr w:type="spellEnd"/>
      <w:r>
        <w:t xml:space="preserve"> 4.13)</w:t>
      </w:r>
      <w:r w:rsidRPr="008B39DD">
        <w:t xml:space="preserve"> requires that the </w:t>
      </w:r>
      <w:r>
        <w:t>Sponsor</w:t>
      </w:r>
      <w:r w:rsidRPr="008B39DD">
        <w:t xml:space="preserve"> specifies whether the local recruitment target should be expressed as number(s) enrol</w:t>
      </w:r>
      <w:r>
        <w:t>l</w:t>
      </w:r>
      <w:r w:rsidRPr="008B39DD">
        <w:t xml:space="preserve">ed, </w:t>
      </w:r>
      <w:proofErr w:type="gramStart"/>
      <w:r w:rsidRPr="008B39DD">
        <w:t>dosed</w:t>
      </w:r>
      <w:proofErr w:type="gramEnd"/>
      <w:r w:rsidRPr="008B39DD">
        <w:t xml:space="preserve"> or randomised. Enro</w:t>
      </w:r>
      <w:r>
        <w:t>l</w:t>
      </w:r>
      <w:r w:rsidRPr="008B39DD">
        <w:t xml:space="preserve">led means that the clinical trial subject has consented to be a participant in the clinical trial. Dosed means that the clinical trial subject has received their first dose of Investigational Drug. Randomised means that the clinical trial subject has been randomised to an arm of the study, or equivalent, in accordance with the </w:t>
      </w:r>
      <w:r>
        <w:t>Protocol</w:t>
      </w:r>
      <w:r w:rsidRPr="008B39DD">
        <w:t>.</w:t>
      </w:r>
    </w:p>
    <w:p w14:paraId="1076A29C" w14:textId="79809673" w:rsidR="00BA0115" w:rsidRPr="00BB5F5F" w:rsidRDefault="00BA0115" w:rsidP="00BA0115">
      <w:pPr>
        <w:pStyle w:val="Normalnos"/>
        <w:ind w:left="567"/>
      </w:pPr>
      <w:proofErr w:type="spellStart"/>
      <w:r w:rsidRPr="00467F5F">
        <w:rPr>
          <w:b/>
        </w:rPr>
        <w:t>mCTA</w:t>
      </w:r>
      <w:proofErr w:type="spellEnd"/>
      <w:r w:rsidRPr="00467F5F">
        <w:rPr>
          <w:b/>
        </w:rPr>
        <w:t xml:space="preserve"> Clause 4.13.2 (CRO-</w:t>
      </w:r>
      <w:proofErr w:type="spellStart"/>
      <w:r w:rsidRPr="00467F5F">
        <w:rPr>
          <w:b/>
        </w:rPr>
        <w:t>mCTA</w:t>
      </w:r>
      <w:proofErr w:type="spellEnd"/>
      <w:r w:rsidRPr="00467F5F">
        <w:rPr>
          <w:b/>
        </w:rPr>
        <w:t xml:space="preserve"> 4.14.2)</w:t>
      </w:r>
      <w:r>
        <w:rPr>
          <w:b/>
        </w:rPr>
        <w:t>:</w:t>
      </w:r>
      <w:r w:rsidRPr="00467F5F">
        <w:rPr>
          <w:b/>
        </w:rPr>
        <w:t xml:space="preserve"> Enrolment Targets</w:t>
      </w:r>
    </w:p>
    <w:p w14:paraId="2FC308CE" w14:textId="165B522B" w:rsidR="00BA0115" w:rsidRDefault="00BA0115" w:rsidP="00BA0115">
      <w:pPr>
        <w:ind w:left="567"/>
      </w:pPr>
      <w:proofErr w:type="spellStart"/>
      <w:r w:rsidRPr="008B39DD">
        <w:t>mCTA</w:t>
      </w:r>
      <w:proofErr w:type="spellEnd"/>
      <w:r w:rsidRPr="008B39DD">
        <w:t xml:space="preserve"> Clause 4.1</w:t>
      </w:r>
      <w:r>
        <w:t>3</w:t>
      </w:r>
      <w:r w:rsidRPr="008B39DD">
        <w:t>.2 (CRO-</w:t>
      </w:r>
      <w:proofErr w:type="spellStart"/>
      <w:r w:rsidRPr="008B39DD">
        <w:t>mCTA</w:t>
      </w:r>
      <w:proofErr w:type="spellEnd"/>
      <w:r w:rsidRPr="008B39DD">
        <w:t xml:space="preserve"> Clause 4.1</w:t>
      </w:r>
      <w:r>
        <w:t>4</w:t>
      </w:r>
      <w:r w:rsidRPr="008B39DD">
        <w:t xml:space="preserve">.2) makes clear that payment will only be made for </w:t>
      </w:r>
      <w:r>
        <w:t>clinical trial subjects</w:t>
      </w:r>
      <w:r w:rsidRPr="008B39DD">
        <w:t xml:space="preserve"> who have been enrolled into the clinical trial prior to the date of receipt of the notice.</w:t>
      </w:r>
    </w:p>
    <w:p w14:paraId="5043B43C" w14:textId="1C966F10" w:rsidR="00BB5F5F" w:rsidRPr="00BB5F5F" w:rsidRDefault="00BB5F5F" w:rsidP="00BB5F5F">
      <w:pPr>
        <w:pStyle w:val="Normalnos"/>
        <w:ind w:left="567"/>
      </w:pPr>
      <w:proofErr w:type="spellStart"/>
      <w:r w:rsidRPr="00ED0B49">
        <w:rPr>
          <w:b/>
        </w:rPr>
        <w:t>mCTA</w:t>
      </w:r>
      <w:proofErr w:type="spellEnd"/>
      <w:r w:rsidRPr="00ED0B49">
        <w:rPr>
          <w:b/>
        </w:rPr>
        <w:t xml:space="preserve"> Clause 4.14 (CRO-</w:t>
      </w:r>
      <w:proofErr w:type="spellStart"/>
      <w:r w:rsidRPr="00ED0B49">
        <w:rPr>
          <w:b/>
        </w:rPr>
        <w:t>mCTA</w:t>
      </w:r>
      <w:proofErr w:type="spellEnd"/>
      <w:r w:rsidRPr="00ED0B49">
        <w:rPr>
          <w:b/>
        </w:rPr>
        <w:t xml:space="preserve"> Clause 4.15)</w:t>
      </w:r>
      <w:r>
        <w:rPr>
          <w:b/>
        </w:rPr>
        <w:t>:</w:t>
      </w:r>
      <w:r w:rsidRPr="00ED0B49">
        <w:rPr>
          <w:b/>
        </w:rPr>
        <w:t xml:space="preserve"> Access, Research Misconduct and Regulatory Authorities</w:t>
      </w:r>
    </w:p>
    <w:p w14:paraId="0ED06D96" w14:textId="77777777" w:rsidR="00BB5F5F" w:rsidRPr="008B39DD" w:rsidRDefault="00BB5F5F" w:rsidP="00BB5F5F">
      <w:pPr>
        <w:ind w:left="567"/>
      </w:pPr>
      <w:r w:rsidRPr="008B39DD">
        <w:t xml:space="preserve">Reflecting the strict regulatory environment faced by </w:t>
      </w:r>
      <w:r>
        <w:t>Sponsors</w:t>
      </w:r>
      <w:r w:rsidRPr="008B39DD">
        <w:t xml:space="preserve"> (and CROs), representations have been included to confirm that the </w:t>
      </w:r>
      <w:r>
        <w:t>Participating Organisation</w:t>
      </w:r>
      <w:r w:rsidRPr="008B39DD">
        <w:t xml:space="preserve"> is unaware of any restriction on the </w:t>
      </w:r>
      <w:r>
        <w:t>P</w:t>
      </w:r>
      <w:r w:rsidRPr="008B39DD">
        <w:t xml:space="preserve">rincipal </w:t>
      </w:r>
      <w:r>
        <w:t>I</w:t>
      </w:r>
      <w:r w:rsidRPr="008B39DD">
        <w:t>nvestigator or the personnel that would prevent that (those) individual(s) from having a role in the clinical trial. The March 2020 version clarifie</w:t>
      </w:r>
      <w:r>
        <w:t>d</w:t>
      </w:r>
      <w:r w:rsidRPr="008B39DD">
        <w:t xml:space="preserve"> that the representation made by the </w:t>
      </w:r>
      <w:r>
        <w:t>Participating Organisation</w:t>
      </w:r>
      <w:r w:rsidRPr="008B39DD">
        <w:t xml:space="preserve"> must be made only after reasonable due diligence on its part to ensure that the </w:t>
      </w:r>
      <w:r>
        <w:t>Sponsor</w:t>
      </w:r>
      <w:r w:rsidRPr="008B39DD">
        <w:t xml:space="preserve"> may take adequate assurance from this representation.</w:t>
      </w:r>
    </w:p>
    <w:p w14:paraId="6D08BC67" w14:textId="51334C40" w:rsidR="00BB5F5F" w:rsidRDefault="00BB5F5F" w:rsidP="00BB5F5F">
      <w:pPr>
        <w:ind w:left="567"/>
      </w:pPr>
      <w:r w:rsidRPr="008B39DD">
        <w:t xml:space="preserve">Detailed provisions covering the </w:t>
      </w:r>
      <w:r>
        <w:t>Sponsor</w:t>
      </w:r>
      <w:r w:rsidRPr="008B39DD">
        <w:t>’s (and CROs) access to the premises/</w:t>
      </w:r>
      <w:r>
        <w:t xml:space="preserve"> </w:t>
      </w:r>
      <w:r w:rsidRPr="008B39DD">
        <w:t>site and handling of possible misconduct have been agreed and these include various reporting requirements.</w:t>
      </w:r>
    </w:p>
    <w:p w14:paraId="6DC30FBE" w14:textId="017328F7" w:rsidR="00BB5F5F" w:rsidRPr="00BB5F5F" w:rsidRDefault="00BB5F5F" w:rsidP="00BB5F5F">
      <w:pPr>
        <w:pStyle w:val="Normalnos"/>
        <w:ind w:left="567"/>
      </w:pPr>
      <w:proofErr w:type="spellStart"/>
      <w:r w:rsidRPr="00C33FAD">
        <w:rPr>
          <w:b/>
        </w:rPr>
        <w:t>mCTA</w:t>
      </w:r>
      <w:proofErr w:type="spellEnd"/>
      <w:r w:rsidRPr="00C33FAD">
        <w:rPr>
          <w:b/>
        </w:rPr>
        <w:t xml:space="preserve"> Clause 4.14.9(a) (CRO-</w:t>
      </w:r>
      <w:proofErr w:type="spellStart"/>
      <w:r w:rsidRPr="00C33FAD">
        <w:rPr>
          <w:b/>
        </w:rPr>
        <w:t>mCTA</w:t>
      </w:r>
      <w:proofErr w:type="spellEnd"/>
      <w:r w:rsidRPr="00C33FAD">
        <w:rPr>
          <w:b/>
        </w:rPr>
        <w:t xml:space="preserve"> 4.15.9(a)): Archiving</w:t>
      </w:r>
    </w:p>
    <w:p w14:paraId="39F72B20" w14:textId="3240492B" w:rsidR="00BB5F5F" w:rsidRPr="00BB5F5F" w:rsidRDefault="00BB5F5F" w:rsidP="00BB5F5F">
      <w:pPr>
        <w:ind w:left="567"/>
      </w:pPr>
      <w:r w:rsidRPr="00EF2471">
        <w:t xml:space="preserve">This sub-clause allows for circumstances in which archiving is arranged on behalf of the </w:t>
      </w:r>
      <w:r>
        <w:t>Participating Organisation</w:t>
      </w:r>
      <w:r w:rsidRPr="00EF2471">
        <w:t xml:space="preserve">, as well as where the archiving is arranged by the </w:t>
      </w:r>
      <w:r>
        <w:t>Participating Organisation</w:t>
      </w:r>
      <w:r w:rsidRPr="00EF2471">
        <w:t xml:space="preserve"> itself. Costs associated with archiving may be reimbursed by the </w:t>
      </w:r>
      <w:r>
        <w:t>Sponsor</w:t>
      </w:r>
      <w:r w:rsidRPr="00EF2471">
        <w:t xml:space="preserve"> (or CRO, where applicable), provided that those costs are reasonable, agreed in advance and set out in the financial schedule.</w:t>
      </w:r>
    </w:p>
    <w:p w14:paraId="6F3FE64E" w14:textId="7068E1ED" w:rsidR="00BB5F5F" w:rsidRPr="00BB5F5F" w:rsidRDefault="00BB5F5F" w:rsidP="00BB5F5F">
      <w:pPr>
        <w:pStyle w:val="Normalnos"/>
        <w:ind w:left="567"/>
      </w:pPr>
      <w:proofErr w:type="spellStart"/>
      <w:r w:rsidRPr="00ED0B49">
        <w:rPr>
          <w:b/>
        </w:rPr>
        <w:t>mCTA</w:t>
      </w:r>
      <w:proofErr w:type="spellEnd"/>
      <w:r w:rsidRPr="00ED0B49">
        <w:rPr>
          <w:b/>
        </w:rPr>
        <w:t xml:space="preserve"> Clause 4.14.10 and 4.14.11 (CRO-</w:t>
      </w:r>
      <w:proofErr w:type="spellStart"/>
      <w:r w:rsidRPr="00ED0B49">
        <w:rPr>
          <w:b/>
        </w:rPr>
        <w:t>mCTA</w:t>
      </w:r>
      <w:proofErr w:type="spellEnd"/>
      <w:r w:rsidRPr="00ED0B49">
        <w:rPr>
          <w:b/>
        </w:rPr>
        <w:t xml:space="preserve"> Clauses 4.15.10 and 4.15.11): Use of Material</w:t>
      </w:r>
    </w:p>
    <w:p w14:paraId="4EC83E36" w14:textId="25C0E22A" w:rsidR="00BB5F5F" w:rsidRPr="00EF2471" w:rsidRDefault="00BB5F5F" w:rsidP="00BB5F5F">
      <w:pPr>
        <w:ind w:left="567"/>
      </w:pPr>
      <w:r w:rsidRPr="00EF2471">
        <w:t xml:space="preserve">The </w:t>
      </w:r>
      <w:proofErr w:type="spellStart"/>
      <w:r w:rsidRPr="00EF2471">
        <w:t>mCTAs</w:t>
      </w:r>
      <w:proofErr w:type="spellEnd"/>
      <w:r w:rsidRPr="00EF2471">
        <w:t xml:space="preserve"> define “Material” as “…any clinical biological sample, or portion thereof, derived from Clinical Trial Subjects</w:t>
      </w:r>
      <w:r w:rsidR="00E371C3">
        <w:t xml:space="preserve"> [or donor of Starting Material]</w:t>
      </w:r>
      <w:r w:rsidRPr="00EF2471">
        <w:t xml:space="preserve">, including information related to such material, analysed by the </w:t>
      </w:r>
      <w:r>
        <w:t>Participating Organisation</w:t>
      </w:r>
      <w:r w:rsidRPr="00EF2471">
        <w:t xml:space="preserve"> in accordance with the </w:t>
      </w:r>
      <w:r>
        <w:t>Protocol</w:t>
      </w:r>
      <w:r w:rsidRPr="00EF2471">
        <w:t xml:space="preserve">, or otherwise supplied under Appendix 6 to the </w:t>
      </w:r>
      <w:r>
        <w:t>Sponsor</w:t>
      </w:r>
      <w:r w:rsidRPr="00EF2471">
        <w:t xml:space="preserve"> or its nominee.” </w:t>
      </w:r>
      <w:r w:rsidR="00DF3563">
        <w:t xml:space="preserve">“Starting Material” is furthermore defined as </w:t>
      </w:r>
      <w:r w:rsidR="00432095">
        <w:t>“… any cells, tissues or other material collected from a Clinical Trial Subject or other donor for use in the manufacture of the IMP.”</w:t>
      </w:r>
      <w:r w:rsidR="00515F2A">
        <w:t xml:space="preserve">  The square-bracketed reference to “donor of Starting Material”</w:t>
      </w:r>
      <w:r w:rsidR="00432095">
        <w:t xml:space="preserve"> </w:t>
      </w:r>
      <w:r w:rsidR="00DC0FC4">
        <w:t xml:space="preserve">should be removed where the ATiMP is not an allogeneic therapy. </w:t>
      </w:r>
      <w:r w:rsidR="00432095">
        <w:t xml:space="preserve"> </w:t>
      </w:r>
      <w:proofErr w:type="spellStart"/>
      <w:r w:rsidRPr="00EF2471">
        <w:t>mCTA</w:t>
      </w:r>
      <w:proofErr w:type="spellEnd"/>
      <w:r w:rsidRPr="00EF2471">
        <w:t xml:space="preserve"> Clauses 4.14.10 and 4.14.11 (CRO-</w:t>
      </w:r>
      <w:proofErr w:type="spellStart"/>
      <w:r w:rsidRPr="00EF2471">
        <w:t>mCTA</w:t>
      </w:r>
      <w:proofErr w:type="spellEnd"/>
      <w:r w:rsidRPr="00EF2471">
        <w:t xml:space="preserve"> 4.15.10 and 4.15.11) distinguish between the situations where a </w:t>
      </w:r>
      <w:r>
        <w:t>Participating Organisation</w:t>
      </w:r>
      <w:r w:rsidRPr="00EF2471">
        <w:t xml:space="preserve"> analyses material, and situations where a </w:t>
      </w:r>
      <w:r>
        <w:t>Sponsor</w:t>
      </w:r>
      <w:r w:rsidRPr="00EF2471">
        <w:t xml:space="preserve"> takes that </w:t>
      </w:r>
      <w:proofErr w:type="gramStart"/>
      <w:r w:rsidRPr="00EF2471">
        <w:t>responsibility</w:t>
      </w:r>
      <w:proofErr w:type="gramEnd"/>
      <w:r w:rsidRPr="00EF2471">
        <w:t xml:space="preserve"> and it is carried out either in the </w:t>
      </w:r>
      <w:r>
        <w:t>Sponsor</w:t>
      </w:r>
      <w:r w:rsidRPr="00EF2471">
        <w:t>’s own laboratory or through a third party laboratory.</w:t>
      </w:r>
      <w:r w:rsidR="00A04F03">
        <w:t xml:space="preserve"> </w:t>
      </w:r>
    </w:p>
    <w:p w14:paraId="7307828B" w14:textId="77777777" w:rsidR="00BB5F5F" w:rsidRPr="00EF2471" w:rsidRDefault="00BB5F5F" w:rsidP="00BB5F5F">
      <w:pPr>
        <w:ind w:left="567"/>
      </w:pPr>
      <w:proofErr w:type="spellStart"/>
      <w:r w:rsidRPr="00EF2471">
        <w:t>mCTA</w:t>
      </w:r>
      <w:proofErr w:type="spellEnd"/>
      <w:r w:rsidRPr="00EF2471">
        <w:t xml:space="preserve"> Clause 4.14.10 (CRO-</w:t>
      </w:r>
      <w:proofErr w:type="spellStart"/>
      <w:r w:rsidRPr="00EF2471">
        <w:t>mCTA</w:t>
      </w:r>
      <w:proofErr w:type="spellEnd"/>
      <w:r w:rsidRPr="00EF2471">
        <w:t xml:space="preserve"> 4.15.10) should be deleted where no analysis of material will take place at the </w:t>
      </w:r>
      <w:r>
        <w:t>Participating Organisation</w:t>
      </w:r>
      <w:r w:rsidRPr="00EF2471">
        <w:t>.</w:t>
      </w:r>
    </w:p>
    <w:p w14:paraId="0228020A" w14:textId="77777777" w:rsidR="00BB5F5F" w:rsidRPr="00EF2471" w:rsidRDefault="00BB5F5F" w:rsidP="00BB5F5F">
      <w:pPr>
        <w:ind w:left="567"/>
      </w:pPr>
      <w:proofErr w:type="spellStart"/>
      <w:r w:rsidRPr="00EF2471">
        <w:t>mCTA</w:t>
      </w:r>
      <w:proofErr w:type="spellEnd"/>
      <w:r w:rsidRPr="00EF2471">
        <w:t xml:space="preserve"> Clause 4.14.11 (CRO-</w:t>
      </w:r>
      <w:proofErr w:type="spellStart"/>
      <w:r w:rsidRPr="00EF2471">
        <w:t>mCTA</w:t>
      </w:r>
      <w:proofErr w:type="spellEnd"/>
      <w:r w:rsidRPr="00EF2471">
        <w:t xml:space="preserve"> 4.15.11) should be deleted where no transfer of material from the </w:t>
      </w:r>
      <w:r>
        <w:t>Participating Organisation</w:t>
      </w:r>
      <w:r w:rsidRPr="00EF2471">
        <w:t xml:space="preserve"> will take place for analysis by the </w:t>
      </w:r>
      <w:r>
        <w:t>Sponsor</w:t>
      </w:r>
      <w:r w:rsidRPr="00EF2471">
        <w:t xml:space="preserve"> or their nominee.</w:t>
      </w:r>
    </w:p>
    <w:p w14:paraId="53E2F0B4" w14:textId="604821B9" w:rsidR="00BB5F5F" w:rsidRDefault="00BB5F5F" w:rsidP="00BB5F5F">
      <w:pPr>
        <w:ind w:left="567"/>
      </w:pPr>
      <w:r w:rsidRPr="00EF2471">
        <w:t xml:space="preserve">Both </w:t>
      </w:r>
      <w:r w:rsidR="00C903B7">
        <w:t>C</w:t>
      </w:r>
      <w:r w:rsidRPr="00EF2471">
        <w:t xml:space="preserve">lauses should remain where analysis of material will be undertaken by the </w:t>
      </w:r>
      <w:r>
        <w:t>Participating Organisation</w:t>
      </w:r>
      <w:r w:rsidRPr="00EF2471">
        <w:t xml:space="preserve"> and by the </w:t>
      </w:r>
      <w:r>
        <w:t>Sponsor</w:t>
      </w:r>
      <w:r w:rsidRPr="00EF2471">
        <w:t xml:space="preserve"> or their nominee.</w:t>
      </w:r>
    </w:p>
    <w:p w14:paraId="4A428DB9" w14:textId="2265656F" w:rsidR="00F11933" w:rsidRPr="00EF2471" w:rsidRDefault="00F11933" w:rsidP="00BB5F5F">
      <w:pPr>
        <w:ind w:left="567"/>
      </w:pPr>
      <w:r>
        <w:t>Furthermore</w:t>
      </w:r>
      <w:r w:rsidR="00B92300">
        <w:t>,</w:t>
      </w:r>
      <w:r>
        <w:t xml:space="preserve"> </w:t>
      </w:r>
      <w:proofErr w:type="spellStart"/>
      <w:r>
        <w:t>mCTA</w:t>
      </w:r>
      <w:proofErr w:type="spellEnd"/>
      <w:r>
        <w:t xml:space="preserve"> Clause 4.14.12 (CRO-</w:t>
      </w:r>
      <w:proofErr w:type="spellStart"/>
      <w:r>
        <w:t>mCTA</w:t>
      </w:r>
      <w:proofErr w:type="spellEnd"/>
      <w:r>
        <w:t xml:space="preserve"> 4.15.12) addresses the collection of Starting Material for the purpose of manufacturing the </w:t>
      </w:r>
      <w:r w:rsidR="00E034D8">
        <w:t>ATiMP</w:t>
      </w:r>
      <w:r w:rsidR="00B92300">
        <w:t>.</w:t>
      </w:r>
      <w:r w:rsidR="00E617D6">
        <w:t xml:space="preserve">  References to the Quality Agreement should be removed if the Sponsor determines that one is not necessary.  Appendix 1, 6 and 8 may be used by the Sponsor if the Sponsor determines that a Quality Agreement is not necessary.</w:t>
      </w:r>
    </w:p>
    <w:p w14:paraId="443916A3" w14:textId="41A39D51" w:rsidR="00BB5F5F" w:rsidRPr="00EF2471" w:rsidRDefault="00BB5F5F" w:rsidP="00BB5F5F">
      <w:pPr>
        <w:ind w:left="567"/>
      </w:pPr>
      <w:r w:rsidRPr="00EF2471">
        <w:t>Appendix 6 sets out general responsibilities with respect to the handling and use of material</w:t>
      </w:r>
      <w:r w:rsidR="004C44A8">
        <w:t xml:space="preserve"> (both laboratory samples for analysis and Starting </w:t>
      </w:r>
      <w:proofErr w:type="gramStart"/>
      <w:r w:rsidR="004C44A8">
        <w:t>Material)s</w:t>
      </w:r>
      <w:proofErr w:type="gramEnd"/>
      <w:r w:rsidRPr="00EF2471">
        <w:t xml:space="preserve"> transferred to the </w:t>
      </w:r>
      <w:r>
        <w:t>Sponsor</w:t>
      </w:r>
      <w:r w:rsidRPr="00EF2471">
        <w:t xml:space="preserve"> (or their nominee) by the </w:t>
      </w:r>
      <w:r>
        <w:t>Participating Organisation</w:t>
      </w:r>
      <w:r w:rsidRPr="00EF2471">
        <w:t xml:space="preserve">, applicable to both parties and is applicable </w:t>
      </w:r>
      <w:r w:rsidR="00B51A6C">
        <w:t>both</w:t>
      </w:r>
      <w:r w:rsidR="00B51A6C" w:rsidRPr="00EF2471">
        <w:t xml:space="preserve"> </w:t>
      </w:r>
      <w:r w:rsidRPr="00EF2471">
        <w:t xml:space="preserve">where </w:t>
      </w:r>
      <w:r w:rsidR="00C903B7">
        <w:t>C</w:t>
      </w:r>
      <w:r w:rsidRPr="00EF2471">
        <w:t xml:space="preserve">lause </w:t>
      </w:r>
      <w:proofErr w:type="spellStart"/>
      <w:r w:rsidRPr="00EF2471">
        <w:t>mCTA</w:t>
      </w:r>
      <w:proofErr w:type="spellEnd"/>
      <w:r w:rsidRPr="00EF2471">
        <w:t xml:space="preserve"> 4.14.11 (CRO-</w:t>
      </w:r>
      <w:proofErr w:type="spellStart"/>
      <w:r w:rsidRPr="00EF2471">
        <w:t>mCTA</w:t>
      </w:r>
      <w:proofErr w:type="spellEnd"/>
      <w:r w:rsidRPr="00EF2471">
        <w:t xml:space="preserve"> 4.15.11) applies</w:t>
      </w:r>
      <w:r w:rsidR="00B51A6C">
        <w:t xml:space="preserve"> and also to the collecting of Starting Material under Clause 4.14.12 (CRO-</w:t>
      </w:r>
      <w:proofErr w:type="spellStart"/>
      <w:r w:rsidR="00B51A6C">
        <w:t>mCTA</w:t>
      </w:r>
      <w:proofErr w:type="spellEnd"/>
      <w:r w:rsidR="00B51A6C">
        <w:t xml:space="preserve"> 4.15.12)</w:t>
      </w:r>
      <w:r w:rsidRPr="00EF2471">
        <w:t xml:space="preserve">. </w:t>
      </w:r>
    </w:p>
    <w:p w14:paraId="5D26559D" w14:textId="77777777" w:rsidR="00BB5F5F" w:rsidRPr="00EF2471" w:rsidRDefault="00BB5F5F" w:rsidP="00BB5F5F">
      <w:pPr>
        <w:ind w:left="567"/>
      </w:pPr>
      <w:r w:rsidRPr="00EF2471">
        <w:t xml:space="preserve">Additional requirements relating to the use of Material in any specific </w:t>
      </w:r>
      <w:r>
        <w:t>c</w:t>
      </w:r>
      <w:r w:rsidRPr="00EF2471">
        <w:t xml:space="preserve">linical </w:t>
      </w:r>
      <w:r>
        <w:t>t</w:t>
      </w:r>
      <w:r w:rsidRPr="00EF2471">
        <w:t xml:space="preserve">rial are also captured in the Integrated Research Application System (IRAS) application required to obtain approval for the Clinical Trial. </w:t>
      </w:r>
      <w:r>
        <w:t>Sponsors</w:t>
      </w:r>
      <w:r w:rsidRPr="00EF2471">
        <w:t xml:space="preserve"> and </w:t>
      </w:r>
      <w:r>
        <w:t>Participating Organisations</w:t>
      </w:r>
      <w:r w:rsidRPr="00EF2471">
        <w:t xml:space="preserve"> (and CROs, where applicable) are strongly encouraged to review both the IRAS question relating to use of Material and Clinical Trial Subjects </w:t>
      </w:r>
      <w:proofErr w:type="gramStart"/>
      <w:r w:rsidRPr="00EF2471">
        <w:t>in order to</w:t>
      </w:r>
      <w:proofErr w:type="gramEnd"/>
      <w:r w:rsidRPr="00EF2471">
        <w:t xml:space="preserve"> determine the feasibility (or otherwise) of use/participation in multiple Clinical Trials, as well as the accompanying notes which place restrictions on the use of Material.</w:t>
      </w:r>
    </w:p>
    <w:p w14:paraId="154E8171" w14:textId="4D80054C" w:rsidR="00BB5F5F" w:rsidRPr="00BB5F5F" w:rsidRDefault="00BB5F5F" w:rsidP="00BB5F5F">
      <w:pPr>
        <w:pStyle w:val="Normalnos"/>
        <w:ind w:left="567"/>
      </w:pPr>
      <w:r w:rsidRPr="00ED0B49">
        <w:rPr>
          <w:b/>
        </w:rPr>
        <w:t>Clause 5: Liabilities and Indemnities</w:t>
      </w:r>
    </w:p>
    <w:p w14:paraId="39B7D451" w14:textId="77777777" w:rsidR="00BB5F5F" w:rsidRPr="00EF2471" w:rsidRDefault="00BB5F5F" w:rsidP="00BB5F5F">
      <w:pPr>
        <w:ind w:left="567"/>
      </w:pPr>
      <w:r w:rsidRPr="00EF2471">
        <w:t xml:space="preserve">It is essential that </w:t>
      </w:r>
      <w:r>
        <w:t>Sponsors</w:t>
      </w:r>
      <w:r w:rsidRPr="00EF2471">
        <w:t xml:space="preserve"> and </w:t>
      </w:r>
      <w:r>
        <w:t>Participating Organisations</w:t>
      </w:r>
      <w:r w:rsidRPr="00EF2471">
        <w:t xml:space="preserve"> (and CROs, where relevant) indemnify each other for any liabilities other than those covered under the ABPI Indemnity Agreement, in case participation in a </w:t>
      </w:r>
      <w:proofErr w:type="gramStart"/>
      <w:r w:rsidRPr="00EF2471">
        <w:t>clinical trial results</w:t>
      </w:r>
      <w:proofErr w:type="gramEnd"/>
      <w:r w:rsidRPr="00EF2471">
        <w:t xml:space="preserve"> in damage to </w:t>
      </w:r>
      <w:r>
        <w:t>a</w:t>
      </w:r>
      <w:r w:rsidRPr="00EF2471">
        <w:t xml:space="preserve"> party’s property and facilities. Hospitals’ non-clinical liabilities in relation to research are not usually covered by existing NHS litigation schemes and it is unlikely that their management would authorise the taking on of unquantified and potentially unlimited liabilities, such as might arise from an intellectual property rights claim.</w:t>
      </w:r>
    </w:p>
    <w:p w14:paraId="5C58E71D" w14:textId="77777777" w:rsidR="00BB5F5F" w:rsidRPr="00EF2471" w:rsidRDefault="00BB5F5F" w:rsidP="00BB5F5F">
      <w:pPr>
        <w:ind w:left="567"/>
      </w:pPr>
      <w:r w:rsidRPr="00EF2471">
        <w:t xml:space="preserve">The liabilities of </w:t>
      </w:r>
      <w:r>
        <w:t>Participating Organisations</w:t>
      </w:r>
      <w:r w:rsidRPr="00EF2471">
        <w:t xml:space="preserve"> to </w:t>
      </w:r>
      <w:r>
        <w:t>Sponsors</w:t>
      </w:r>
      <w:r w:rsidRPr="00EF2471">
        <w:t xml:space="preserve"> (and CROs, where applicable) have been capped at two different levels depending on the nature of the breach. The first cap, covering (a) wilful and/or deliberate breaches of the agreement and (b) any breach related to Clauses 6, (Data Protection), 7</w:t>
      </w:r>
      <w:r>
        <w:t> </w:t>
      </w:r>
      <w:r w:rsidRPr="00EF2471">
        <w:t>(Freedom of Information)</w:t>
      </w:r>
      <w:r>
        <w:t>,</w:t>
      </w:r>
      <w:r w:rsidRPr="00EF2471">
        <w:t xml:space="preserve"> 8 (Confidential Information), 10 (Publications) and 11</w:t>
      </w:r>
      <w:r>
        <w:t> </w:t>
      </w:r>
      <w:r w:rsidRPr="00EF2471">
        <w:t xml:space="preserve">(Intellectual Property), provides for the </w:t>
      </w:r>
      <w:r>
        <w:t>Participating Organisation</w:t>
      </w:r>
      <w:r w:rsidRPr="00EF2471">
        <w:t xml:space="preserve">’s liability to be limited to a maximum of twice the value of the agreement. The agreement value is the total payment due to be made by the </w:t>
      </w:r>
      <w:r>
        <w:t>Sponsor</w:t>
      </w:r>
      <w:r w:rsidRPr="00EF2471">
        <w:t xml:space="preserve"> (or CRO, as applicable) to the </w:t>
      </w:r>
      <w:r>
        <w:t>Participating Organisation</w:t>
      </w:r>
      <w:r w:rsidRPr="00EF2471">
        <w:t xml:space="preserve">, if the target number of patients is recruited. The second cap covers all other breaches of the agreement by the </w:t>
      </w:r>
      <w:r>
        <w:t>Participating Organisation</w:t>
      </w:r>
      <w:r w:rsidRPr="00EF2471">
        <w:t xml:space="preserve"> and limits the </w:t>
      </w:r>
      <w:r>
        <w:t>Participating Organisation</w:t>
      </w:r>
      <w:r w:rsidRPr="00EF2471">
        <w:t>’s liability to the maximum value of the contract.</w:t>
      </w:r>
    </w:p>
    <w:p w14:paraId="59A72C82" w14:textId="77777777" w:rsidR="00BB5F5F" w:rsidRPr="00EF2471" w:rsidRDefault="00BB5F5F" w:rsidP="00BB5F5F">
      <w:pPr>
        <w:ind w:left="567"/>
      </w:pPr>
      <w:r w:rsidRPr="00EF2471">
        <w:t xml:space="preserve">While for </w:t>
      </w:r>
      <w:proofErr w:type="gramStart"/>
      <w:r w:rsidRPr="00EF2471">
        <w:t>a number of</w:t>
      </w:r>
      <w:proofErr w:type="gramEnd"/>
      <w:r w:rsidRPr="00EF2471">
        <w:t xml:space="preserve"> types of possible breaches these provisions might not fully compensate the </w:t>
      </w:r>
      <w:r>
        <w:t>Sponsor</w:t>
      </w:r>
      <w:r w:rsidRPr="00EF2471">
        <w:t xml:space="preserve"> (or CRO) for their loss, it is considered that the risk of paying compensation on this basis provides an additional incentive for </w:t>
      </w:r>
      <w:r>
        <w:t>Participating Organisations</w:t>
      </w:r>
      <w:r w:rsidRPr="00EF2471">
        <w:t xml:space="preserve"> to take every reasonable precaution to prevent a breach of the agreement. These precautions could include</w:t>
      </w:r>
      <w:r>
        <w:t>:</w:t>
      </w:r>
      <w:r w:rsidRPr="00EF2471">
        <w:t xml:space="preserve"> (</w:t>
      </w:r>
      <w:proofErr w:type="spellStart"/>
      <w:r w:rsidRPr="00EF2471">
        <w:t>i</w:t>
      </w:r>
      <w:proofErr w:type="spellEnd"/>
      <w:r w:rsidRPr="00EF2471">
        <w:t xml:space="preserve">) having in place robust research governance arrangements; (ii) instituting training programmes for researchers undertaking commercial trials; (iii) emphasising to staff the importance of protecting the integrity of </w:t>
      </w:r>
      <w:r>
        <w:t>Sponsors</w:t>
      </w:r>
      <w:r w:rsidRPr="00EF2471">
        <w:t>’ (and CROs) confidential information; and taking disciplinary action in the event of a wilful or reckless breach of the provisions of clinical trial agreements.</w:t>
      </w:r>
    </w:p>
    <w:p w14:paraId="7D63636B" w14:textId="263ED935" w:rsidR="00BB5F5F" w:rsidRPr="00EF2471" w:rsidRDefault="00BB5F5F" w:rsidP="00BB5F5F">
      <w:pPr>
        <w:ind w:left="567"/>
      </w:pPr>
      <w:r w:rsidRPr="00EF2471">
        <w:t xml:space="preserve">Under </w:t>
      </w:r>
      <w:r>
        <w:t>T</w:t>
      </w:r>
      <w:r w:rsidRPr="00EF2471">
        <w:t xml:space="preserve">he Medicines for Human Use (Clinical Trials) Regulations 2004, </w:t>
      </w:r>
      <w:r>
        <w:t>Sponsors</w:t>
      </w:r>
      <w:r w:rsidRPr="00EF2471">
        <w:t xml:space="preserve"> are not required to take out clinical trials insurance, but </w:t>
      </w:r>
      <w:r>
        <w:t>Participating Organisations</w:t>
      </w:r>
      <w:r w:rsidRPr="00EF2471">
        <w:t xml:space="preserve"> will wish to be assured either that sufficient insurance cover has been purchased, or that the </w:t>
      </w:r>
      <w:r>
        <w:t>Sponsor</w:t>
      </w:r>
      <w:r w:rsidRPr="00EF2471">
        <w:t xml:space="preserve"> has provided an indemnity covering potential liabilities to clinical trial subjects participating in the relevant clinical trial. Research ethics committees that provide an opinion on the trial proposal, may therefore take a view, in relation to the risks posed by a specific clinical trial, as to the indemnity and/or the adequacy of the </w:t>
      </w:r>
      <w:r>
        <w:t>Sponsor</w:t>
      </w:r>
      <w:r w:rsidRPr="00EF2471">
        <w:t>’s clinical trials insurance.</w:t>
      </w:r>
    </w:p>
    <w:p w14:paraId="7DA70CE9" w14:textId="1466B8EF" w:rsidR="00BB5F5F" w:rsidRPr="00BB5F5F" w:rsidRDefault="00BB5F5F" w:rsidP="00BB5F5F">
      <w:pPr>
        <w:pStyle w:val="Normalnos"/>
        <w:ind w:left="567"/>
      </w:pPr>
      <w:r w:rsidRPr="00BA7C0E">
        <w:rPr>
          <w:b/>
        </w:rPr>
        <w:t>Clause 6: Data Protection</w:t>
      </w:r>
    </w:p>
    <w:p w14:paraId="19022ABE" w14:textId="4F0EF45D" w:rsidR="00BB5F5F" w:rsidRDefault="00BB5F5F" w:rsidP="00BB5F5F">
      <w:pPr>
        <w:ind w:left="567"/>
      </w:pPr>
      <w:r w:rsidRPr="00694816">
        <w:t xml:space="preserve">The </w:t>
      </w:r>
      <w:proofErr w:type="spellStart"/>
      <w:r w:rsidRPr="00694816">
        <w:t>mCTA</w:t>
      </w:r>
      <w:r>
        <w:t>s</w:t>
      </w:r>
      <w:proofErr w:type="spellEnd"/>
      <w:r w:rsidRPr="00694816">
        <w:t xml:space="preserve"> include general provisions related to compliance with the relevant data protection laws and guidance. </w:t>
      </w:r>
      <w:r>
        <w:t>The definition of the term “Data Protection Laws and Guidance” includes “</w:t>
      </w:r>
      <w:r w:rsidRPr="00BB5F5F">
        <w:rPr>
          <w:b/>
          <w:bCs/>
          <w:u w:val="single"/>
        </w:rPr>
        <w:t>legally enforceable</w:t>
      </w:r>
      <w:r w:rsidRPr="004B623D">
        <w:t xml:space="preserve"> NHS requirements, Codes of Practice or Guidance issued by the Information Commissioner’s Office, in each case in force from time to time in England, Northern Ireland, Scotland and/or Wales</w:t>
      </w:r>
      <w:r>
        <w:t xml:space="preserve">”. </w:t>
      </w:r>
      <w:r w:rsidRPr="00694816">
        <w:t>Oversight of this compliance is provided through the clinical trials approval process</w:t>
      </w:r>
      <w:r>
        <w:t>,</w:t>
      </w:r>
      <w:r w:rsidRPr="00694816">
        <w:t xml:space="preserve"> which includes a review of the mechanisms for protecting personal data.</w:t>
      </w:r>
    </w:p>
    <w:p w14:paraId="032E695F" w14:textId="1701C004" w:rsidR="00BB5F5F" w:rsidRPr="00694816" w:rsidRDefault="00BB5F5F" w:rsidP="00BB5F5F">
      <w:pPr>
        <w:ind w:left="567"/>
      </w:pPr>
      <w:r>
        <w:t xml:space="preserve">Clause 6 is explicitly concerned with Personal Data as defined in the agreement, that is, only personal data of Clinical Trial Subjects, or potential Clinical Trial Subjects. The Personal Data of the Principal Investigator or Personnel are not dealt with in the template and requests to modify the template to change this will not be accepted. Sponsors are encouraged to fulfil their transparency obligations for processing the personal data of the PI and Personnel via their signature and delegation log, as per the example provided in </w:t>
      </w:r>
      <w:hyperlink r:id="rId13" w:anchor="UK-Local-Information-Pack-Delegation-Log" w:history="1">
        <w:r w:rsidRPr="00446CA3">
          <w:rPr>
            <w:rStyle w:val="Hyperlink"/>
          </w:rPr>
          <w:t>IRAS</w:t>
        </w:r>
      </w:hyperlink>
      <w:r>
        <w:t>.</w:t>
      </w:r>
    </w:p>
    <w:p w14:paraId="268D0F08" w14:textId="0380F73B" w:rsidR="00BB5F5F" w:rsidRDefault="00BB5F5F" w:rsidP="00BB5F5F">
      <w:pPr>
        <w:ind w:left="567"/>
      </w:pPr>
      <w:r w:rsidRPr="00694816">
        <w:t>Clause 6.2</w:t>
      </w:r>
      <w:r>
        <w:t>, when taken together with the clinical trial protocol,</w:t>
      </w:r>
      <w:r w:rsidRPr="00694816">
        <w:t xml:space="preserve"> constitutes a GDPR Article 28(3)</w:t>
      </w:r>
      <w:r>
        <w:t xml:space="preserve"> </w:t>
      </w:r>
      <w:r w:rsidRPr="00694816">
        <w:t xml:space="preserve">compliant data processing agreement between </w:t>
      </w:r>
      <w:r>
        <w:t>Sponsor,</w:t>
      </w:r>
      <w:r w:rsidRPr="00694816">
        <w:t xml:space="preserve"> as controller of Personal Data processed for the purpose of the clinical trial, and the </w:t>
      </w:r>
      <w:r>
        <w:t>Participating Organisation,</w:t>
      </w:r>
      <w:r w:rsidRPr="00694816">
        <w:t xml:space="preserve"> as processor of the </w:t>
      </w:r>
      <w:r>
        <w:t>Sponsor</w:t>
      </w:r>
      <w:r w:rsidRPr="00694816">
        <w:t xml:space="preserve"> for this purpose.</w:t>
      </w:r>
    </w:p>
    <w:p w14:paraId="0C8679DF" w14:textId="05994EFB" w:rsidR="00BB5F5F" w:rsidRPr="00694816" w:rsidRDefault="00BB5F5F" w:rsidP="00BB5F5F">
      <w:pPr>
        <w:ind w:left="567"/>
      </w:pPr>
      <w:r>
        <w:t xml:space="preserve">Clause 6.2.5(a) explicitly references GDPR Article 28(1) and gives “obligations as an NHS organisation” as the guarantee that the sponsor should take in accordance with 28(1). </w:t>
      </w:r>
      <w:r w:rsidRPr="00FF4879">
        <w:t>NHS organisations are held to high standards of data protection in each of the four UK nations. Sponsors should therefore take assurance that the measures taken by the NHS are appropriate when relying upon existing NHS processes, systems, etc. for the processing of personal data (as opposed to when study specific provisions are required by the sponsor, such as Electronic Case Report Forms (eCRF)</w:t>
      </w:r>
      <w:r>
        <w:t xml:space="preserve">, where the requirements of the sponsor should be clearly set out in, for example, the protocol, eCRF manual or </w:t>
      </w:r>
      <w:proofErr w:type="gramStart"/>
      <w:r>
        <w:t>other</w:t>
      </w:r>
      <w:proofErr w:type="gramEnd"/>
      <w:r>
        <w:t xml:space="preserve"> relevant document)</w:t>
      </w:r>
      <w:r w:rsidRPr="00FF4879">
        <w:t>.</w:t>
      </w:r>
    </w:p>
    <w:p w14:paraId="1DFE0537" w14:textId="77777777" w:rsidR="00BB5F5F" w:rsidRPr="00694816" w:rsidRDefault="00BB5F5F" w:rsidP="00BB5F5F">
      <w:pPr>
        <w:ind w:left="567"/>
      </w:pPr>
      <w:r w:rsidRPr="00694816">
        <w:t xml:space="preserve">Clause 6.2.6 should set out the position of the </w:t>
      </w:r>
      <w:r>
        <w:t>Sponsor</w:t>
      </w:r>
      <w:r w:rsidRPr="00694816">
        <w:t xml:space="preserve"> on the use of </w:t>
      </w:r>
      <w:r>
        <w:t>Participant Identification Centres (</w:t>
      </w:r>
      <w:r w:rsidRPr="00694816">
        <w:t>PICs</w:t>
      </w:r>
      <w:r>
        <w:t>)</w:t>
      </w:r>
      <w:r w:rsidRPr="00694816">
        <w:t xml:space="preserve"> in the clinical trial and, where their use is permitted, whether the </w:t>
      </w:r>
      <w:r>
        <w:t>Participating Organisation</w:t>
      </w:r>
      <w:r w:rsidRPr="00694816">
        <w:t xml:space="preserve"> may engage PICs under the general written authorisation of the agreement or only with specific written authorisation from</w:t>
      </w:r>
      <w:r>
        <w:t>,</w:t>
      </w:r>
      <w:r w:rsidRPr="00694816">
        <w:t xml:space="preserve"> or on behalf of</w:t>
      </w:r>
      <w:r>
        <w:t>,</w:t>
      </w:r>
      <w:r w:rsidRPr="00694816">
        <w:t xml:space="preserve"> the </w:t>
      </w:r>
      <w:r>
        <w:t>Sponsor</w:t>
      </w:r>
      <w:r w:rsidRPr="00694816">
        <w:t>.</w:t>
      </w:r>
    </w:p>
    <w:p w14:paraId="351ADCB8" w14:textId="1D232005" w:rsidR="00BB5F5F" w:rsidRPr="00694816" w:rsidRDefault="00BB5F5F" w:rsidP="00BB5F5F">
      <w:pPr>
        <w:ind w:left="567"/>
      </w:pPr>
      <w:r w:rsidRPr="00694816">
        <w:t>Clause 6.3 provides for the sharing of Personal Data and or the pseudonymised data of data subjects</w:t>
      </w:r>
      <w:r>
        <w:t xml:space="preserve">. The drafting of Clause 6.3 is not intended to directly deal with sponsor responsibilities arising from the Data Protection Laws and Guidance, nor to provide the legal basis for the export of personal data to a country outside of the UK. Instead, the </w:t>
      </w:r>
      <w:r w:rsidR="00C903B7">
        <w:t>C</w:t>
      </w:r>
      <w:r>
        <w:t xml:space="preserve">lause is drafted to provide </w:t>
      </w:r>
      <w:r w:rsidRPr="00694816">
        <w:t xml:space="preserve">the </w:t>
      </w:r>
      <w:r>
        <w:t>Participating Organisation</w:t>
      </w:r>
      <w:r w:rsidRPr="00694816">
        <w:t xml:space="preserve"> with assurances </w:t>
      </w:r>
      <w:r>
        <w:t xml:space="preserve">that NHS organisations are advised, in accordance with Caldicott and NHS policies and best practice, to obtain prior to releasing potentially identifiable confidential patient information to a third party. Modifications to the </w:t>
      </w:r>
      <w:r w:rsidR="00C903B7">
        <w:t>C</w:t>
      </w:r>
      <w:r>
        <w:t xml:space="preserve">lause to form a </w:t>
      </w:r>
      <w:proofErr w:type="gramStart"/>
      <w:r>
        <w:t>controller to controller</w:t>
      </w:r>
      <w:proofErr w:type="gramEnd"/>
      <w:r>
        <w:t xml:space="preserve"> agreement for the export of personal data, or other modifications that fail to reflect the basis of the clause in Caldicott, NHS policy and best practice, should not be proposed and will not be accepted.</w:t>
      </w:r>
    </w:p>
    <w:p w14:paraId="54175E51" w14:textId="77777777" w:rsidR="00BB5F5F" w:rsidRPr="00BB5F5F" w:rsidRDefault="00BB5F5F" w:rsidP="00BB5F5F">
      <w:pPr>
        <w:pStyle w:val="Normalnos"/>
        <w:ind w:left="567"/>
      </w:pPr>
      <w:r w:rsidRPr="00BA7C0E">
        <w:rPr>
          <w:b/>
        </w:rPr>
        <w:t>Clause 7: Freedom of Information</w:t>
      </w:r>
    </w:p>
    <w:p w14:paraId="5A1FE37B" w14:textId="62A3E69F" w:rsidR="00BB5F5F" w:rsidRDefault="00EB0743" w:rsidP="00EB0743">
      <w:pPr>
        <w:ind w:left="567"/>
      </w:pPr>
      <w:r w:rsidRPr="00694816">
        <w:t xml:space="preserve">This Clause imposes obligations on </w:t>
      </w:r>
      <w:r>
        <w:t>Participating Organisations</w:t>
      </w:r>
      <w:r w:rsidRPr="00694816">
        <w:t xml:space="preserve"> to take timely action to inform </w:t>
      </w:r>
      <w:r>
        <w:t>Sponsors</w:t>
      </w:r>
      <w:r w:rsidRPr="00694816">
        <w:t xml:space="preserve"> (and CROs, as applicable) about requests for information, consult fully with them about disclosure, and inform them, where reasonably practicable, in a timely way of any plans they may have to disclose information against the wishes of a </w:t>
      </w:r>
      <w:r>
        <w:t>Sponsor</w:t>
      </w:r>
      <w:r w:rsidRPr="00694816">
        <w:t>.</w:t>
      </w:r>
    </w:p>
    <w:p w14:paraId="3B0E3B02" w14:textId="44D34B09" w:rsidR="00BB5F5F" w:rsidRPr="00EB0743" w:rsidRDefault="00BB5F5F" w:rsidP="00BB5F5F">
      <w:pPr>
        <w:pStyle w:val="Normalnos"/>
        <w:ind w:left="567"/>
      </w:pPr>
      <w:r w:rsidRPr="00BA7C0E">
        <w:rPr>
          <w:b/>
        </w:rPr>
        <w:t>Clause 10</w:t>
      </w:r>
      <w:r>
        <w:rPr>
          <w:b/>
        </w:rPr>
        <w:t>:</w:t>
      </w:r>
      <w:r w:rsidRPr="00BA7C0E">
        <w:rPr>
          <w:b/>
        </w:rPr>
        <w:t xml:space="preserve"> Publications</w:t>
      </w:r>
    </w:p>
    <w:p w14:paraId="6237FF46" w14:textId="77777777" w:rsidR="00EB0743" w:rsidRPr="00694816" w:rsidRDefault="00EB0743" w:rsidP="00EB0743">
      <w:pPr>
        <w:ind w:left="567"/>
      </w:pPr>
      <w:r w:rsidRPr="00694816">
        <w:t xml:space="preserve">The </w:t>
      </w:r>
      <w:proofErr w:type="spellStart"/>
      <w:r w:rsidRPr="00694816">
        <w:t>mCTAs</w:t>
      </w:r>
      <w:proofErr w:type="spellEnd"/>
      <w:r w:rsidRPr="00694816">
        <w:t xml:space="preserve"> recognise that </w:t>
      </w:r>
      <w:r>
        <w:t>Participating Organisations</w:t>
      </w:r>
      <w:r w:rsidRPr="00694816">
        <w:t xml:space="preserve"> have a responsibility to ensure appropriate publication and dissemination of clinical research for the benefit of patients and their peers. Publication should be done in an orderly way, usually in compliance with the publication policy set out in the </w:t>
      </w:r>
      <w:r>
        <w:t>Protocol</w:t>
      </w:r>
      <w:r w:rsidRPr="00694816">
        <w:t xml:space="preserve">, provided such policy is consistent with the Joint Position as defined in the </w:t>
      </w:r>
      <w:proofErr w:type="spellStart"/>
      <w:r w:rsidRPr="00694816">
        <w:t>mCTAs</w:t>
      </w:r>
      <w:proofErr w:type="spellEnd"/>
      <w:r w:rsidRPr="00694816">
        <w:t>.</w:t>
      </w:r>
    </w:p>
    <w:p w14:paraId="194919E4" w14:textId="77777777" w:rsidR="00EB0743" w:rsidRPr="00694816" w:rsidRDefault="00EB0743" w:rsidP="00EB0743">
      <w:pPr>
        <w:ind w:left="567"/>
      </w:pPr>
      <w:r w:rsidRPr="00694816">
        <w:t xml:space="preserve">This Clause sets out conditions governing the way that individual investigators should prepare </w:t>
      </w:r>
      <w:r>
        <w:t>any</w:t>
      </w:r>
      <w:r w:rsidRPr="00694816">
        <w:t xml:space="preserve"> publications</w:t>
      </w:r>
      <w:r>
        <w:t xml:space="preserve"> that they may intend to make</w:t>
      </w:r>
      <w:r w:rsidRPr="00694816">
        <w:t>, and the opportunities t</w:t>
      </w:r>
      <w:r>
        <w:t>hat t</w:t>
      </w:r>
      <w:r w:rsidRPr="00694816">
        <w:t xml:space="preserve">hey should allow </w:t>
      </w:r>
      <w:r>
        <w:t>Sponsors</w:t>
      </w:r>
      <w:r w:rsidRPr="00694816">
        <w:t xml:space="preserve"> to comment on them. It also specifies the window of opportunity available to </w:t>
      </w:r>
      <w:r>
        <w:t>Sponsors</w:t>
      </w:r>
      <w:r w:rsidRPr="00694816">
        <w:t xml:space="preserve"> in which they can protect proprietary information. It was drafted to ensure that publications based on limited and perhaps unrepresentative data from one</w:t>
      </w:r>
      <w:r>
        <w:t xml:space="preserve"> site,</w:t>
      </w:r>
      <w:r w:rsidRPr="00694816">
        <w:t xml:space="preserve"> or a limited number of sites</w:t>
      </w:r>
      <w:r>
        <w:t>,</w:t>
      </w:r>
      <w:r w:rsidRPr="00694816">
        <w:t xml:space="preserve"> do not inadvertently misrepresent results, by requiring that the principal report(s) of each clinical trial is (are) published before articles based on subsets of the data.</w:t>
      </w:r>
    </w:p>
    <w:p w14:paraId="2473042A" w14:textId="77777777" w:rsidR="00EB0743" w:rsidRPr="00694816" w:rsidRDefault="00EB0743" w:rsidP="00EB0743">
      <w:pPr>
        <w:ind w:left="567"/>
      </w:pPr>
      <w:r w:rsidRPr="00694816">
        <w:t xml:space="preserve">The terms of the </w:t>
      </w:r>
      <w:proofErr w:type="spellStart"/>
      <w:r w:rsidRPr="00694816">
        <w:t>mCTAs</w:t>
      </w:r>
      <w:proofErr w:type="spellEnd"/>
      <w:r w:rsidRPr="00694816">
        <w:t xml:space="preserve"> allow publication of data derived from the </w:t>
      </w:r>
      <w:r>
        <w:t>Participating Organisation</w:t>
      </w:r>
      <w:r w:rsidRPr="00694816">
        <w:t xml:space="preserve"> after the multi-centre publication and subject to the terms of Clause 10.</w:t>
      </w:r>
    </w:p>
    <w:p w14:paraId="16C4A44C" w14:textId="77777777" w:rsidR="00EB0743" w:rsidRPr="00EB0743" w:rsidRDefault="00EB0743" w:rsidP="00EB0743">
      <w:pPr>
        <w:pStyle w:val="Normalnos"/>
        <w:ind w:left="567"/>
      </w:pPr>
      <w:r w:rsidRPr="00BA7C0E">
        <w:rPr>
          <w:b/>
        </w:rPr>
        <w:t>Clause 11</w:t>
      </w:r>
      <w:r>
        <w:rPr>
          <w:b/>
        </w:rPr>
        <w:t>:</w:t>
      </w:r>
      <w:r w:rsidRPr="00BA7C0E">
        <w:rPr>
          <w:b/>
        </w:rPr>
        <w:t xml:space="preserve"> Intellectual Property</w:t>
      </w:r>
      <w:r>
        <w:rPr>
          <w:b/>
        </w:rPr>
        <w:t xml:space="preserve"> (IP)</w:t>
      </w:r>
    </w:p>
    <w:p w14:paraId="5EB6584F" w14:textId="1DDF0ECF" w:rsidR="00EB0743" w:rsidRPr="00694816" w:rsidRDefault="00EB0743" w:rsidP="00EB0743">
      <w:pPr>
        <w:ind w:left="567"/>
      </w:pPr>
      <w:r w:rsidRPr="00694816">
        <w:t xml:space="preserve">Four core principles underlie the </w:t>
      </w:r>
      <w:proofErr w:type="spellStart"/>
      <w:r w:rsidRPr="00694816">
        <w:t>mCTAs</w:t>
      </w:r>
      <w:proofErr w:type="spellEnd"/>
      <w:r w:rsidRPr="00694816">
        <w:t xml:space="preserve">’ IP </w:t>
      </w:r>
      <w:r w:rsidR="00C903B7">
        <w:t>C</w:t>
      </w:r>
      <w:r w:rsidRPr="00694816">
        <w:t xml:space="preserve">lauses. First, each party retains ownership of any pre-existing IP or </w:t>
      </w:r>
      <w:r>
        <w:t>K</w:t>
      </w:r>
      <w:r w:rsidRPr="00694816">
        <w:t>now</w:t>
      </w:r>
      <w:r>
        <w:t>-H</w:t>
      </w:r>
      <w:r w:rsidRPr="00694816">
        <w:t xml:space="preserve">ow owned by it or licensed to it. Second, any IP or </w:t>
      </w:r>
      <w:r>
        <w:t>K</w:t>
      </w:r>
      <w:r w:rsidRPr="00694816">
        <w:t>now</w:t>
      </w:r>
      <w:r>
        <w:t>-H</w:t>
      </w:r>
      <w:r w:rsidRPr="00694816">
        <w:t xml:space="preserve">ow generated at the </w:t>
      </w:r>
      <w:r>
        <w:t>Participating Organisation</w:t>
      </w:r>
      <w:r w:rsidRPr="00694816">
        <w:t xml:space="preserve"> that relates to the clinical trial, the </w:t>
      </w:r>
      <w:proofErr w:type="gramStart"/>
      <w:r w:rsidRPr="00694816">
        <w:t>IMP</w:t>
      </w:r>
      <w:proofErr w:type="gramEnd"/>
      <w:r w:rsidRPr="00694816">
        <w:t xml:space="preserve"> or the </w:t>
      </w:r>
      <w:r>
        <w:t>Protocol</w:t>
      </w:r>
      <w:r w:rsidRPr="00694816">
        <w:t xml:space="preserve"> (excluding any clinical procedure or related improvements) is the property of the </w:t>
      </w:r>
      <w:r>
        <w:t>Sponsor</w:t>
      </w:r>
      <w:r w:rsidRPr="00694816">
        <w:t xml:space="preserve">. Third, clinical procedures and related improvements are the property of the </w:t>
      </w:r>
      <w:r>
        <w:t>Participating Organisation</w:t>
      </w:r>
      <w:r w:rsidRPr="00694816">
        <w:t xml:space="preserve"> and, depending on the inventor’s employer (hospital or university), could be protected accordingly. Four, the </w:t>
      </w:r>
      <w:r>
        <w:t>Participating Organisation</w:t>
      </w:r>
      <w:r w:rsidRPr="00694816">
        <w:t xml:space="preserve"> also has the right to use know</w:t>
      </w:r>
      <w:r>
        <w:t>-</w:t>
      </w:r>
      <w:r w:rsidRPr="00694816">
        <w:t xml:space="preserve">how gained during the trial in its normal activities, provided it does not result in disclosure of the </w:t>
      </w:r>
      <w:r>
        <w:t>Sponsor</w:t>
      </w:r>
      <w:r w:rsidRPr="00694816">
        <w:t xml:space="preserve">’s confidential information. These provisions are designed to protect the </w:t>
      </w:r>
      <w:r>
        <w:t>Sponsor</w:t>
      </w:r>
      <w:r w:rsidRPr="00694816">
        <w:t xml:space="preserve">’s IP and give it ownership of anything derived from it, while allowing the investigator’s employer to protect and exploit clinical procedures and related improvements, and to use </w:t>
      </w:r>
      <w:r>
        <w:t>K</w:t>
      </w:r>
      <w:r w:rsidRPr="00694816">
        <w:t>now</w:t>
      </w:r>
      <w:r>
        <w:t>-H</w:t>
      </w:r>
      <w:r w:rsidRPr="00694816">
        <w:t>ow generated while the Clinical Trial is being undertaken.</w:t>
      </w:r>
    </w:p>
    <w:p w14:paraId="1466C038" w14:textId="77777777" w:rsidR="00EB0743" w:rsidRPr="00721C2B" w:rsidRDefault="00EB0743" w:rsidP="00EB0743">
      <w:pPr>
        <w:ind w:left="567"/>
      </w:pPr>
      <w:r w:rsidRPr="00EB0743">
        <w:rPr>
          <w:b/>
        </w:rPr>
        <w:t>Example 1</w:t>
      </w:r>
      <w:r>
        <w:br/>
      </w:r>
      <w:r w:rsidRPr="00721C2B">
        <w:t xml:space="preserve">If an investigator, supplied with information in the investigator brochure about the characteristics of a new drug, identified a possible role for the drug in a different disease, or a potentially more effective combination with a second drug, the rights to that IP would lie with the </w:t>
      </w:r>
      <w:r>
        <w:t>Sponsor</w:t>
      </w:r>
      <w:r w:rsidRPr="00721C2B">
        <w:t>.</w:t>
      </w:r>
    </w:p>
    <w:p w14:paraId="44E8DEF0" w14:textId="77777777" w:rsidR="00EB0743" w:rsidRPr="00721C2B" w:rsidRDefault="00EB0743" w:rsidP="00EB0743">
      <w:pPr>
        <w:ind w:left="567"/>
      </w:pPr>
      <w:r w:rsidRPr="00EB0743">
        <w:rPr>
          <w:b/>
        </w:rPr>
        <w:t>Example 2</w:t>
      </w:r>
      <w:r>
        <w:br/>
      </w:r>
      <w:r w:rsidRPr="00721C2B">
        <w:t xml:space="preserve">If a </w:t>
      </w:r>
      <w:r>
        <w:t>Protocol</w:t>
      </w:r>
      <w:r w:rsidRPr="00721C2B">
        <w:t xml:space="preserve"> specified that a certain type of CT scan should be taken, and while analysing the scan, an employee of the </w:t>
      </w:r>
      <w:r>
        <w:t>Participating Organisation</w:t>
      </w:r>
      <w:r w:rsidRPr="00721C2B">
        <w:t xml:space="preserve"> developed a new method of analysing CT scans, the rights to that IP would lie with the </w:t>
      </w:r>
      <w:r>
        <w:t>Participating Organisation</w:t>
      </w:r>
      <w:r w:rsidRPr="00721C2B">
        <w:t>.</w:t>
      </w:r>
    </w:p>
    <w:p w14:paraId="34BD78AD" w14:textId="77777777" w:rsidR="00EB0743" w:rsidRPr="00721C2B" w:rsidRDefault="00EB0743" w:rsidP="00EB0743">
      <w:pPr>
        <w:ind w:left="567"/>
      </w:pPr>
      <w:r w:rsidRPr="00EB0743">
        <w:rPr>
          <w:b/>
        </w:rPr>
        <w:t>Example 3</w:t>
      </w:r>
      <w:r>
        <w:br/>
      </w:r>
      <w:r w:rsidRPr="00721C2B">
        <w:t xml:space="preserve">A </w:t>
      </w:r>
      <w:r>
        <w:t>Sponsor</w:t>
      </w:r>
      <w:r w:rsidRPr="00721C2B">
        <w:t xml:space="preserve"> supplies a case report form for use by an investigator for the </w:t>
      </w:r>
      <w:r>
        <w:t>Sponsor</w:t>
      </w:r>
      <w:r w:rsidRPr="00721C2B">
        <w:t xml:space="preserve">’s clinical trial. </w:t>
      </w:r>
      <w:proofErr w:type="gramStart"/>
      <w:r w:rsidRPr="00721C2B">
        <w:t>In the course of</w:t>
      </w:r>
      <w:proofErr w:type="gramEnd"/>
      <w:r w:rsidRPr="00721C2B">
        <w:t xml:space="preserve"> carrying out the </w:t>
      </w:r>
      <w:r>
        <w:t>Sponsor</w:t>
      </w:r>
      <w:r w:rsidRPr="00721C2B">
        <w:t xml:space="preserve">’s clinical trial, the investigator develops, for </w:t>
      </w:r>
      <w:r>
        <w:t>his/</w:t>
      </w:r>
      <w:r w:rsidRPr="00721C2B">
        <w:t xml:space="preserve">her own convenience and without being requested to or paid to by the </w:t>
      </w:r>
      <w:r>
        <w:t>Sponsor</w:t>
      </w:r>
      <w:r w:rsidRPr="00721C2B">
        <w:t>, a novel database on which to manage the trial subject data. The rights to that IP would lie with the employer of the investigator.</w:t>
      </w:r>
    </w:p>
    <w:p w14:paraId="63CB565E" w14:textId="77777777" w:rsidR="00EB0743" w:rsidRPr="00721C2B" w:rsidRDefault="00EB0743" w:rsidP="00EB0743">
      <w:pPr>
        <w:ind w:left="567"/>
      </w:pPr>
      <w:r w:rsidRPr="00721C2B">
        <w:t xml:space="preserve">The terms of the </w:t>
      </w:r>
      <w:proofErr w:type="spellStart"/>
      <w:r w:rsidRPr="00721C2B">
        <w:t>mCTAs</w:t>
      </w:r>
      <w:proofErr w:type="spellEnd"/>
      <w:r w:rsidRPr="00721C2B">
        <w:t xml:space="preserve"> do not give the </w:t>
      </w:r>
      <w:r>
        <w:t>Sponsor</w:t>
      </w:r>
      <w:r w:rsidRPr="00721C2B">
        <w:t xml:space="preserve"> rights to all IP generated by employees of the </w:t>
      </w:r>
      <w:r>
        <w:t>Participating Organisation</w:t>
      </w:r>
      <w:r w:rsidRPr="00721C2B">
        <w:t xml:space="preserve"> either </w:t>
      </w:r>
      <w:proofErr w:type="gramStart"/>
      <w:r w:rsidRPr="00721C2B">
        <w:t>in the course of</w:t>
      </w:r>
      <w:proofErr w:type="gramEnd"/>
      <w:r w:rsidRPr="00721C2B">
        <w:t xml:space="preserve"> the clinical trial or in the field of the clinical trial.</w:t>
      </w:r>
    </w:p>
    <w:p w14:paraId="21DBF0D6" w14:textId="608F9017" w:rsidR="00EB0743" w:rsidRPr="00EB0743" w:rsidRDefault="00EB0743" w:rsidP="00EB0743">
      <w:pPr>
        <w:pStyle w:val="Normalnos"/>
        <w:ind w:left="567"/>
      </w:pPr>
      <w:r w:rsidRPr="00F80B90">
        <w:rPr>
          <w:b/>
        </w:rPr>
        <w:t>Clause 12.6</w:t>
      </w:r>
      <w:r>
        <w:rPr>
          <w:b/>
        </w:rPr>
        <w:t>:</w:t>
      </w:r>
      <w:r w:rsidRPr="00F80B90">
        <w:rPr>
          <w:b/>
        </w:rPr>
        <w:t xml:space="preserve"> Longstop </w:t>
      </w:r>
      <w:r>
        <w:rPr>
          <w:b/>
        </w:rPr>
        <w:t>d</w:t>
      </w:r>
      <w:r w:rsidRPr="00F80B90">
        <w:rPr>
          <w:b/>
        </w:rPr>
        <w:t>ates</w:t>
      </w:r>
    </w:p>
    <w:p w14:paraId="7E97A376" w14:textId="56FB6D8C" w:rsidR="00EB0743" w:rsidRPr="00EB0743" w:rsidRDefault="00EB0743" w:rsidP="00EB0743">
      <w:pPr>
        <w:ind w:left="567"/>
      </w:pPr>
      <w:r w:rsidRPr="00721C2B">
        <w:t xml:space="preserve">It is noted that the </w:t>
      </w:r>
      <w:r>
        <w:t>Sponsor</w:t>
      </w:r>
      <w:r w:rsidRPr="00721C2B">
        <w:t xml:space="preserve"> (or CRO, as applicable) has a right to refuse payment of invoices which are not dated within 60 days of site close out (or within</w:t>
      </w:r>
      <w:r>
        <w:t xml:space="preserve"> sixty</w:t>
      </w:r>
      <w:r w:rsidRPr="00721C2B">
        <w:t xml:space="preserve"> </w:t>
      </w:r>
      <w:r>
        <w:t>(</w:t>
      </w:r>
      <w:r w:rsidRPr="00721C2B">
        <w:t>60</w:t>
      </w:r>
      <w:r>
        <w:t>)</w:t>
      </w:r>
      <w:r w:rsidRPr="00721C2B">
        <w:t xml:space="preserve"> days of the </w:t>
      </w:r>
      <w:r>
        <w:t>Sponsor</w:t>
      </w:r>
      <w:r w:rsidRPr="00721C2B">
        <w:t xml:space="preserve"> providing final invoicing </w:t>
      </w:r>
      <w:proofErr w:type="gramStart"/>
      <w:r w:rsidRPr="00721C2B">
        <w:t>data, if</w:t>
      </w:r>
      <w:proofErr w:type="gramEnd"/>
      <w:r w:rsidRPr="00721C2B">
        <w:t xml:space="preserve"> that data is requested within </w:t>
      </w:r>
      <w:r>
        <w:t>forty-five (</w:t>
      </w:r>
      <w:r w:rsidRPr="00721C2B">
        <w:t>45</w:t>
      </w:r>
      <w:r>
        <w:t>)</w:t>
      </w:r>
      <w:r w:rsidRPr="00721C2B">
        <w:t xml:space="preserve"> days of the site close out</w:t>
      </w:r>
      <w:r>
        <w:t>)</w:t>
      </w:r>
      <w:r w:rsidRPr="00721C2B">
        <w:t>.</w:t>
      </w:r>
    </w:p>
    <w:p w14:paraId="6C3E9492" w14:textId="1A66CF4B" w:rsidR="00EB0743" w:rsidRPr="00EB0743" w:rsidRDefault="00EB0743" w:rsidP="00EB0743">
      <w:pPr>
        <w:pStyle w:val="Normalnos"/>
        <w:ind w:left="567"/>
      </w:pPr>
      <w:r w:rsidRPr="00F80B90">
        <w:rPr>
          <w:b/>
        </w:rPr>
        <w:t>Clause 12.7</w:t>
      </w:r>
      <w:r>
        <w:rPr>
          <w:b/>
        </w:rPr>
        <w:t>:</w:t>
      </w:r>
      <w:r w:rsidRPr="00F80B90">
        <w:rPr>
          <w:b/>
        </w:rPr>
        <w:t xml:space="preserve"> Payment Terms</w:t>
      </w:r>
    </w:p>
    <w:p w14:paraId="752B3999" w14:textId="252A689A" w:rsidR="00EB0743" w:rsidRPr="00EB0743" w:rsidRDefault="00EB0743" w:rsidP="00EB0743">
      <w:pPr>
        <w:ind w:left="567"/>
      </w:pPr>
      <w:r w:rsidRPr="00721C2B">
        <w:t xml:space="preserve">The </w:t>
      </w:r>
      <w:proofErr w:type="spellStart"/>
      <w:r w:rsidRPr="00721C2B">
        <w:t>mCTAs</w:t>
      </w:r>
      <w:proofErr w:type="spellEnd"/>
      <w:r w:rsidRPr="00721C2B">
        <w:t xml:space="preserve"> provide a payment term of </w:t>
      </w:r>
      <w:r>
        <w:t>forty-five (</w:t>
      </w:r>
      <w:r w:rsidRPr="00721C2B">
        <w:t>45</w:t>
      </w:r>
      <w:r>
        <w:t>)</w:t>
      </w:r>
      <w:r w:rsidRPr="00721C2B">
        <w:t xml:space="preserve"> days. </w:t>
      </w:r>
      <w:r>
        <w:t>T</w:t>
      </w:r>
      <w:r w:rsidRPr="00721C2B">
        <w:t xml:space="preserve">his payment term should not be revised with respect to any specific Clinical Trial. This payment term represents a balance between the financial processes of </w:t>
      </w:r>
      <w:r>
        <w:t>Participating Organisations</w:t>
      </w:r>
      <w:r w:rsidRPr="00721C2B">
        <w:t xml:space="preserve"> and those of </w:t>
      </w:r>
      <w:r>
        <w:t>Sponsors</w:t>
      </w:r>
      <w:r w:rsidRPr="00721C2B">
        <w:t xml:space="preserve"> and CROs.</w:t>
      </w:r>
    </w:p>
    <w:p w14:paraId="726F19FD" w14:textId="66FB94D0" w:rsidR="00EB0743" w:rsidRPr="00EB0743" w:rsidRDefault="00EB0743" w:rsidP="00EB0743">
      <w:pPr>
        <w:pStyle w:val="Normalnos"/>
        <w:ind w:left="567"/>
      </w:pPr>
      <w:r w:rsidRPr="001D09C8">
        <w:rPr>
          <w:b/>
        </w:rPr>
        <w:t>Clause 16.1</w:t>
      </w:r>
      <w:r>
        <w:rPr>
          <w:b/>
        </w:rPr>
        <w:t>:</w:t>
      </w:r>
      <w:r w:rsidRPr="001D09C8">
        <w:rPr>
          <w:b/>
        </w:rPr>
        <w:t xml:space="preserve"> Order of Precedence</w:t>
      </w:r>
    </w:p>
    <w:p w14:paraId="3152964B" w14:textId="1D767FCD" w:rsidR="00EB0743" w:rsidRDefault="00EB0743" w:rsidP="00EB0743">
      <w:pPr>
        <w:ind w:left="567"/>
      </w:pPr>
      <w:r w:rsidRPr="00721C2B">
        <w:t xml:space="preserve">In most respects, the terms of the </w:t>
      </w:r>
      <w:r>
        <w:t>Protocol</w:t>
      </w:r>
      <w:r w:rsidRPr="00721C2B">
        <w:t xml:space="preserve"> will prevail over the other terms of the </w:t>
      </w:r>
      <w:proofErr w:type="spellStart"/>
      <w:r w:rsidRPr="00721C2B">
        <w:t>mCTA</w:t>
      </w:r>
      <w:proofErr w:type="spellEnd"/>
      <w:r w:rsidRPr="00721C2B">
        <w:t xml:space="preserve">. However, in respect of six </w:t>
      </w:r>
      <w:r>
        <w:t xml:space="preserve">(6) </w:t>
      </w:r>
      <w:r w:rsidRPr="00721C2B">
        <w:t xml:space="preserve">important Clauses: 5 (Liabilities and Indemnities), 6 (Data Protection), 7 (Freedom of Information), 8 (Confidentiality), 10 (Publications), 11 (Intellectual Property) and 16 (Agreement </w:t>
      </w:r>
      <w:r>
        <w:t>and</w:t>
      </w:r>
      <w:r w:rsidRPr="00721C2B">
        <w:t xml:space="preserve"> Modification), the terms set out in the </w:t>
      </w:r>
      <w:proofErr w:type="spellStart"/>
      <w:r w:rsidRPr="00721C2B">
        <w:t>mCTAs</w:t>
      </w:r>
      <w:proofErr w:type="spellEnd"/>
      <w:r w:rsidRPr="00721C2B">
        <w:t xml:space="preserve"> will prevail.</w:t>
      </w:r>
    </w:p>
    <w:p w14:paraId="30FFF9D4" w14:textId="77777777" w:rsidR="00EB0743" w:rsidRPr="00EB0743" w:rsidRDefault="00EB0743" w:rsidP="00EB0743">
      <w:pPr>
        <w:pStyle w:val="Normalnos"/>
        <w:ind w:left="567"/>
      </w:pPr>
      <w:r w:rsidRPr="001D09C8">
        <w:rPr>
          <w:b/>
        </w:rPr>
        <w:t>Clause 16.3</w:t>
      </w:r>
      <w:r>
        <w:rPr>
          <w:b/>
        </w:rPr>
        <w:t>:</w:t>
      </w:r>
      <w:r w:rsidRPr="001D09C8">
        <w:rPr>
          <w:b/>
        </w:rPr>
        <w:t xml:space="preserve"> Changes to the Protocol</w:t>
      </w:r>
    </w:p>
    <w:p w14:paraId="33EDB0CE" w14:textId="36AFAF78" w:rsidR="00EB0743" w:rsidRDefault="00EB0743" w:rsidP="00EB0743">
      <w:pPr>
        <w:ind w:left="567"/>
      </w:pPr>
      <w:r w:rsidRPr="00721C2B">
        <w:t xml:space="preserve">The procedure to be followed when changes are made is set out in Clause 16.3 and if the change requires a revised financial schedule, this should be agreed, signed by the </w:t>
      </w:r>
      <w:proofErr w:type="gramStart"/>
      <w:r w:rsidRPr="00721C2B">
        <w:t>Parties</w:t>
      </w:r>
      <w:proofErr w:type="gramEnd"/>
      <w:r w:rsidRPr="00721C2B">
        <w:t xml:space="preserve"> and attached to the Agreement. </w:t>
      </w:r>
      <w:r>
        <w:t>The implementation of a</w:t>
      </w:r>
      <w:r w:rsidRPr="00721C2B">
        <w:t>mendments requiring changes to the financial schedule should not be delayed until contract variation is completed. Instead</w:t>
      </w:r>
      <w:r>
        <w:t>,</w:t>
      </w:r>
      <w:r w:rsidRPr="00721C2B">
        <w:t xml:space="preserve"> amendments should be implemented in a timely manner</w:t>
      </w:r>
      <w:r>
        <w:t>,</w:t>
      </w:r>
      <w:r w:rsidRPr="00721C2B">
        <w:t xml:space="preserve"> whilst good faith negotiation between the parties continues to finalise and agree the variation.</w:t>
      </w:r>
    </w:p>
    <w:p w14:paraId="2780E3BD" w14:textId="42B0E95C" w:rsidR="00EB0743" w:rsidRPr="00EB0743" w:rsidRDefault="00EB0743" w:rsidP="00EB0743">
      <w:pPr>
        <w:pStyle w:val="Normalnos"/>
        <w:ind w:left="567"/>
      </w:pPr>
      <w:r w:rsidRPr="001D09C8">
        <w:rPr>
          <w:b/>
        </w:rPr>
        <w:t>Clause 17</w:t>
      </w:r>
      <w:r>
        <w:rPr>
          <w:b/>
        </w:rPr>
        <w:t>:</w:t>
      </w:r>
      <w:r w:rsidRPr="001D09C8">
        <w:rPr>
          <w:b/>
        </w:rPr>
        <w:t xml:space="preserve"> Force Majeure</w:t>
      </w:r>
    </w:p>
    <w:p w14:paraId="3479B12A" w14:textId="2432C373" w:rsidR="00EB0743" w:rsidRDefault="00EB0743" w:rsidP="00EB0743">
      <w:pPr>
        <w:ind w:left="567"/>
      </w:pPr>
      <w:r w:rsidRPr="00721C2B">
        <w:t>The parties will agree a reasonable time limit after which delays due to an act of God etc., affecting one party’s performance of their duties</w:t>
      </w:r>
      <w:r>
        <w:t>,</w:t>
      </w:r>
      <w:r w:rsidRPr="00721C2B">
        <w:t xml:space="preserve"> allow the unaffected party to terminate the contract.</w:t>
      </w:r>
    </w:p>
    <w:p w14:paraId="0106CD7A" w14:textId="77777777" w:rsidR="00EB0743" w:rsidRPr="00EB0743" w:rsidRDefault="00EB0743" w:rsidP="00EB0743">
      <w:pPr>
        <w:pStyle w:val="Normalnos"/>
        <w:ind w:left="567"/>
      </w:pPr>
      <w:r w:rsidRPr="001D09C8">
        <w:rPr>
          <w:b/>
        </w:rPr>
        <w:t>Clause 18.1.1</w:t>
      </w:r>
      <w:r>
        <w:rPr>
          <w:b/>
        </w:rPr>
        <w:t>:</w:t>
      </w:r>
      <w:r w:rsidRPr="001D09C8">
        <w:rPr>
          <w:b/>
        </w:rPr>
        <w:t xml:space="preserve"> Notices</w:t>
      </w:r>
    </w:p>
    <w:p w14:paraId="4A80C8A7" w14:textId="71A3DF06" w:rsidR="00EB0743" w:rsidRDefault="008637D2" w:rsidP="008637D2">
      <w:pPr>
        <w:ind w:left="567"/>
      </w:pPr>
      <w:r w:rsidRPr="00721C2B">
        <w:t>It is permitted to serve notice by e</w:t>
      </w:r>
      <w:r>
        <w:t>-</w:t>
      </w:r>
      <w:r w:rsidRPr="00721C2B">
        <w:t xml:space="preserve">mail, at the discretion of the </w:t>
      </w:r>
      <w:r>
        <w:t>Sponsor</w:t>
      </w:r>
      <w:r w:rsidRPr="00721C2B">
        <w:t xml:space="preserve">, as set out in this </w:t>
      </w:r>
      <w:r>
        <w:t>C</w:t>
      </w:r>
      <w:r w:rsidRPr="00721C2B">
        <w:t>lause.</w:t>
      </w:r>
      <w:r>
        <w:t xml:space="preserve"> Where the Sponsor chooses not to allow for notices to be served by e-mail, the Clause should not be modified, the parties should merely refrain from providing email addresses under Clause 18.2.</w:t>
      </w:r>
    </w:p>
    <w:p w14:paraId="6F02EB7B" w14:textId="35AE6CD8" w:rsidR="00EB0743" w:rsidRPr="008637D2" w:rsidRDefault="00EB0743" w:rsidP="00EB0743">
      <w:pPr>
        <w:pStyle w:val="Normalnos"/>
        <w:ind w:left="567"/>
      </w:pPr>
      <w:r w:rsidRPr="001D09C8">
        <w:rPr>
          <w:b/>
        </w:rPr>
        <w:t>Clause 19</w:t>
      </w:r>
      <w:r>
        <w:rPr>
          <w:b/>
        </w:rPr>
        <w:t>:</w:t>
      </w:r>
      <w:r w:rsidRPr="001D09C8">
        <w:rPr>
          <w:b/>
        </w:rPr>
        <w:t xml:space="preserve"> Dispute resolution</w:t>
      </w:r>
    </w:p>
    <w:p w14:paraId="2DAD8D18" w14:textId="39FC48BC" w:rsidR="008637D2" w:rsidRDefault="008637D2" w:rsidP="008637D2">
      <w:pPr>
        <w:ind w:left="567"/>
      </w:pPr>
      <w:r w:rsidRPr="00721C2B">
        <w:t xml:space="preserve">Under the </w:t>
      </w:r>
      <w:proofErr w:type="spellStart"/>
      <w:r w:rsidRPr="00721C2B">
        <w:t>mCTAs</w:t>
      </w:r>
      <w:proofErr w:type="spellEnd"/>
      <w:r w:rsidRPr="00721C2B">
        <w:t xml:space="preserve">, the parties are required, in the first instance, to attempt to resolve any dispute through discussion between senior managers which, if unsuccessful, may proceed to mediation. An informal local procedure is specified, escalating, if necessary, through more formal processes. If mediation fails, the parties can take the dispute to the courts of the jurisdiction in which the </w:t>
      </w:r>
      <w:r>
        <w:t>Participating Organisation</w:t>
      </w:r>
      <w:r w:rsidRPr="00721C2B">
        <w:t xml:space="preserve"> is constituted.</w:t>
      </w:r>
    </w:p>
    <w:p w14:paraId="7F926159" w14:textId="0D9BD5B8" w:rsidR="008637D2" w:rsidRPr="008637D2" w:rsidRDefault="008637D2" w:rsidP="00EB0743">
      <w:pPr>
        <w:pStyle w:val="Normalnos"/>
        <w:ind w:left="567"/>
      </w:pPr>
      <w:r w:rsidRPr="001D09C8">
        <w:rPr>
          <w:b/>
        </w:rPr>
        <w:t>Clause 20.4</w:t>
      </w:r>
      <w:r>
        <w:rPr>
          <w:b/>
        </w:rPr>
        <w:t>:</w:t>
      </w:r>
      <w:r w:rsidRPr="001D09C8">
        <w:rPr>
          <w:b/>
        </w:rPr>
        <w:t xml:space="preserve"> Governing Law </w:t>
      </w:r>
      <w:r>
        <w:rPr>
          <w:b/>
        </w:rPr>
        <w:t>and</w:t>
      </w:r>
      <w:r w:rsidRPr="001D09C8">
        <w:rPr>
          <w:b/>
        </w:rPr>
        <w:t xml:space="preserve"> Jurisdiction</w:t>
      </w:r>
    </w:p>
    <w:p w14:paraId="1849D704" w14:textId="6743C73B" w:rsidR="008637D2" w:rsidRDefault="008637D2" w:rsidP="008637D2">
      <w:pPr>
        <w:ind w:left="567"/>
      </w:pPr>
      <w:r w:rsidRPr="00721C2B">
        <w:t xml:space="preserve">The Governing law of the </w:t>
      </w:r>
      <w:proofErr w:type="spellStart"/>
      <w:r w:rsidRPr="00721C2B">
        <w:t>mCTA</w:t>
      </w:r>
      <w:proofErr w:type="spellEnd"/>
      <w:r w:rsidRPr="00721C2B">
        <w:t xml:space="preserve"> and CRO-</w:t>
      </w:r>
      <w:proofErr w:type="spellStart"/>
      <w:r w:rsidRPr="00721C2B">
        <w:t>mCTA</w:t>
      </w:r>
      <w:proofErr w:type="spellEnd"/>
      <w:r w:rsidRPr="00721C2B">
        <w:t xml:space="preserve"> is determined by reference to the nation of the UK within which the </w:t>
      </w:r>
      <w:r>
        <w:t>Participating Organisation</w:t>
      </w:r>
      <w:r w:rsidRPr="00721C2B">
        <w:t xml:space="preserve"> is constituted.</w:t>
      </w:r>
    </w:p>
    <w:p w14:paraId="2E629DBB" w14:textId="1424022C" w:rsidR="008637D2" w:rsidRPr="008637D2" w:rsidRDefault="008637D2" w:rsidP="00EB0743">
      <w:pPr>
        <w:pStyle w:val="Normalnos"/>
        <w:ind w:left="567"/>
      </w:pPr>
      <w:r w:rsidRPr="00C81818">
        <w:rPr>
          <w:b/>
        </w:rPr>
        <w:t>Clause 20.5: Counterparts and Signatures</w:t>
      </w:r>
    </w:p>
    <w:p w14:paraId="0D62E30E" w14:textId="77777777" w:rsidR="008637D2" w:rsidRDefault="008637D2" w:rsidP="008637D2">
      <w:pPr>
        <w:ind w:left="567"/>
      </w:pPr>
      <w:r w:rsidRPr="007419A3">
        <w:t xml:space="preserve">The signatories to the </w:t>
      </w:r>
      <w:proofErr w:type="spellStart"/>
      <w:r w:rsidRPr="007419A3">
        <w:t>mCTA</w:t>
      </w:r>
      <w:proofErr w:type="spellEnd"/>
      <w:r w:rsidRPr="007419A3">
        <w:t xml:space="preserve"> and CRO-</w:t>
      </w:r>
      <w:proofErr w:type="spellStart"/>
      <w:r w:rsidRPr="007419A3">
        <w:t>mCTA</w:t>
      </w:r>
      <w:proofErr w:type="spellEnd"/>
      <w:r w:rsidRPr="007419A3">
        <w:t xml:space="preserve"> will be the authorised representatives of the </w:t>
      </w:r>
      <w:r>
        <w:t>S</w:t>
      </w:r>
      <w:r w:rsidRPr="007419A3">
        <w:t xml:space="preserve">ponsor and the </w:t>
      </w:r>
      <w:r>
        <w:t>P</w:t>
      </w:r>
      <w:r w:rsidRPr="007419A3">
        <w:t xml:space="preserve">articipating </w:t>
      </w:r>
      <w:r>
        <w:t>O</w:t>
      </w:r>
      <w:r w:rsidRPr="007419A3">
        <w:t xml:space="preserve">rganisation (and CRO, where applicable). </w:t>
      </w:r>
      <w:r>
        <w:t>In</w:t>
      </w:r>
      <w:r w:rsidRPr="007419A3">
        <w:t xml:space="preserve"> the case of the </w:t>
      </w:r>
      <w:r>
        <w:t>P</w:t>
      </w:r>
      <w:r w:rsidRPr="007419A3">
        <w:t xml:space="preserve">articipating </w:t>
      </w:r>
      <w:r>
        <w:t>O</w:t>
      </w:r>
      <w:r w:rsidRPr="007419A3">
        <w:t>rganisation, the signatory might be the Chief Executive, the Director of R&amp;D</w:t>
      </w:r>
      <w:r>
        <w:t xml:space="preserve">, </w:t>
      </w:r>
      <w:r w:rsidRPr="007419A3">
        <w:t>the Director of Finance</w:t>
      </w:r>
      <w:r>
        <w:t>, or another authorised person</w:t>
      </w:r>
      <w:r w:rsidRPr="007419A3">
        <w:t xml:space="preserve">. In the case of the </w:t>
      </w:r>
      <w:r>
        <w:t>S</w:t>
      </w:r>
      <w:r w:rsidRPr="007419A3">
        <w:t xml:space="preserve">ponsor, if the </w:t>
      </w:r>
      <w:r>
        <w:t>S</w:t>
      </w:r>
      <w:r w:rsidRPr="007419A3">
        <w:t xml:space="preserve">ponsor has </w:t>
      </w:r>
      <w:r>
        <w:t xml:space="preserve">formally </w:t>
      </w:r>
      <w:r w:rsidRPr="007419A3">
        <w:t>delegated authority to contractually bind it</w:t>
      </w:r>
      <w:r>
        <w:t>,</w:t>
      </w:r>
      <w:r w:rsidRPr="007419A3">
        <w:t xml:space="preserve"> to a corporate affiliate of the </w:t>
      </w:r>
      <w:r>
        <w:t>S</w:t>
      </w:r>
      <w:r w:rsidRPr="007419A3">
        <w:t>ponsor</w:t>
      </w:r>
      <w:r>
        <w:t xml:space="preserve">, this should be evidenced at </w:t>
      </w:r>
      <w:proofErr w:type="spellStart"/>
      <w:r>
        <w:t>mCTA</w:t>
      </w:r>
      <w:proofErr w:type="spellEnd"/>
      <w:r>
        <w:t xml:space="preserve"> Appendix 8 (CRO-</w:t>
      </w:r>
      <w:proofErr w:type="spellStart"/>
      <w:r>
        <w:t>mCTA</w:t>
      </w:r>
      <w:proofErr w:type="spellEnd"/>
      <w:r>
        <w:t xml:space="preserve"> Appendix 9). In the case of CRO-</w:t>
      </w:r>
      <w:proofErr w:type="spellStart"/>
      <w:r>
        <w:t>mCTA</w:t>
      </w:r>
      <w:proofErr w:type="spellEnd"/>
      <w:r>
        <w:t>, if the Sponsor has formally delegated authority to the CRO to sign the Agreement, and thereby bind the Sponsor as a Party to the Agreement, this should be</w:t>
      </w:r>
      <w:r w:rsidRPr="007419A3">
        <w:t xml:space="preserve"> evidence</w:t>
      </w:r>
      <w:r>
        <w:t>d in Appendix 8 of CRO-</w:t>
      </w:r>
      <w:proofErr w:type="spellStart"/>
      <w:r>
        <w:t>mCTA</w:t>
      </w:r>
      <w:proofErr w:type="spellEnd"/>
      <w:r>
        <w:t>.</w:t>
      </w:r>
    </w:p>
    <w:p w14:paraId="25AD4237" w14:textId="77777777" w:rsidR="008637D2" w:rsidRPr="007419A3" w:rsidRDefault="008637D2" w:rsidP="008637D2">
      <w:pPr>
        <w:ind w:left="567"/>
      </w:pPr>
      <w:r w:rsidRPr="007419A3">
        <w:t xml:space="preserve">The </w:t>
      </w:r>
      <w:proofErr w:type="spellStart"/>
      <w:r w:rsidRPr="007419A3">
        <w:t>mCTAs</w:t>
      </w:r>
      <w:proofErr w:type="spellEnd"/>
      <w:r w:rsidRPr="007419A3">
        <w:t xml:space="preserve"> allow for execution to be through use of an electronic signature and for execution to be via counterparts. </w:t>
      </w:r>
    </w:p>
    <w:p w14:paraId="02D1FF51" w14:textId="77777777" w:rsidR="008637D2" w:rsidRDefault="008637D2" w:rsidP="008637D2">
      <w:pPr>
        <w:ind w:left="567"/>
      </w:pPr>
      <w:r w:rsidRPr="007419A3">
        <w:t xml:space="preserve">Sponsors, CROs (as applicable) and </w:t>
      </w:r>
      <w:r>
        <w:t>P</w:t>
      </w:r>
      <w:r w:rsidRPr="007419A3">
        <w:t xml:space="preserve">articipating </w:t>
      </w:r>
      <w:r>
        <w:t>O</w:t>
      </w:r>
      <w:r w:rsidRPr="007419A3">
        <w:t xml:space="preserve">rganisations are encouraged to discuss execution arrangements early in the </w:t>
      </w:r>
      <w:r>
        <w:t>contract negotiation,</w:t>
      </w:r>
      <w:r w:rsidRPr="007419A3">
        <w:t xml:space="preserve"> </w:t>
      </w:r>
      <w:proofErr w:type="gramStart"/>
      <w:r w:rsidRPr="007419A3">
        <w:t>in order to</w:t>
      </w:r>
      <w:proofErr w:type="gramEnd"/>
      <w:r w:rsidRPr="007419A3">
        <w:t xml:space="preserve"> determine the most appropriate arrangements for all parties.</w:t>
      </w:r>
    </w:p>
    <w:p w14:paraId="37E016C5" w14:textId="0FF91EA1" w:rsidR="008637D2" w:rsidRPr="008637D2" w:rsidRDefault="008637D2" w:rsidP="008637D2">
      <w:pPr>
        <w:pStyle w:val="Normalnos"/>
        <w:keepNext/>
        <w:ind w:left="567"/>
      </w:pPr>
      <w:r w:rsidRPr="00C81818">
        <w:rPr>
          <w:b/>
        </w:rPr>
        <w:t>Appendix 1</w:t>
      </w:r>
    </w:p>
    <w:p w14:paraId="6318C580" w14:textId="6C275905" w:rsidR="008637D2" w:rsidRPr="008637D2" w:rsidRDefault="008637D2" w:rsidP="008637D2">
      <w:pPr>
        <w:ind w:left="567"/>
      </w:pPr>
      <w:r w:rsidRPr="007419A3">
        <w:t>The milestones included in this</w:t>
      </w:r>
      <w:r>
        <w:t xml:space="preserve"> A</w:t>
      </w:r>
      <w:r w:rsidRPr="007419A3">
        <w:t xml:space="preserve">ppendix are by way of example and the parties may jointly amend the list as they see fit. It is noted that the target dates should be determined in relation to individual sites and not in relation to the relevant clinical </w:t>
      </w:r>
      <w:proofErr w:type="gramStart"/>
      <w:r w:rsidRPr="007419A3">
        <w:t>trial as a whole</w:t>
      </w:r>
      <w:proofErr w:type="gramEnd"/>
      <w:r w:rsidRPr="007419A3">
        <w:t xml:space="preserve">. Timelines will require early negotiation involving the </w:t>
      </w:r>
      <w:r>
        <w:t>P</w:t>
      </w:r>
      <w:r w:rsidRPr="007419A3">
        <w:t xml:space="preserve">rincipal </w:t>
      </w:r>
      <w:r>
        <w:t>I</w:t>
      </w:r>
      <w:r w:rsidRPr="007419A3">
        <w:t xml:space="preserve">nvestigator and the </w:t>
      </w:r>
      <w:r>
        <w:t>S</w:t>
      </w:r>
      <w:r w:rsidRPr="007419A3">
        <w:t xml:space="preserve">ponsor (and the CRO, where applicable). It will be particularly important that they are realistic with respect to the date that the protocol will be finalised, and should build in as footnotes, contingency plans for changes </w:t>
      </w:r>
      <w:proofErr w:type="gramStart"/>
      <w:r w:rsidRPr="007419A3">
        <w:t>in the event that</w:t>
      </w:r>
      <w:proofErr w:type="gramEnd"/>
      <w:r w:rsidRPr="007419A3">
        <w:t xml:space="preserve"> there is delay in, for example, regulatory or ethics committee approval. The shared responsibilities indicated on the table in Appendix 1 show that the timing of some events is dependent on good co-ordination between the parties in, for example, scheduling all participants’ availabilities for the initiation visit.</w:t>
      </w:r>
    </w:p>
    <w:p w14:paraId="0BA3BFC9" w14:textId="3C8F17B7" w:rsidR="008637D2" w:rsidRPr="008637D2" w:rsidRDefault="008637D2" w:rsidP="008637D2">
      <w:pPr>
        <w:pStyle w:val="Normalnos"/>
        <w:ind w:left="567"/>
      </w:pPr>
      <w:r w:rsidRPr="00C81818">
        <w:rPr>
          <w:b/>
        </w:rPr>
        <w:t>Appendix 2: ABPI Clinical Trial Compensation Guidelines 2015 and Appendix 3: Form of Indemnity</w:t>
      </w:r>
    </w:p>
    <w:p w14:paraId="5627BEBB" w14:textId="5F1E54AB" w:rsidR="00EB0743" w:rsidRDefault="008637D2" w:rsidP="008637D2">
      <w:pPr>
        <w:ind w:left="567"/>
      </w:pPr>
      <w:r w:rsidRPr="007419A3">
        <w:t>Both appendices are the current ABPI documents and no proposed modifications to either will be accepted.</w:t>
      </w:r>
    </w:p>
    <w:p w14:paraId="7982BA21" w14:textId="77777777" w:rsidR="008637D2" w:rsidRPr="008637D2" w:rsidRDefault="008637D2" w:rsidP="008637D2">
      <w:pPr>
        <w:pStyle w:val="Normalnos"/>
        <w:ind w:left="567"/>
      </w:pPr>
      <w:r w:rsidRPr="00C81818">
        <w:rPr>
          <w:b/>
        </w:rPr>
        <w:t>Appendix 4</w:t>
      </w:r>
    </w:p>
    <w:p w14:paraId="0A88A687" w14:textId="77777777" w:rsidR="008637D2" w:rsidRPr="007419A3" w:rsidRDefault="008637D2" w:rsidP="008637D2">
      <w:pPr>
        <w:ind w:left="567"/>
      </w:pPr>
      <w:r w:rsidRPr="007419A3">
        <w:t xml:space="preserve">The financial arrangements for the clinical trial should be appended as Appendix 4 of the </w:t>
      </w:r>
      <w:proofErr w:type="spellStart"/>
      <w:r w:rsidRPr="007419A3">
        <w:t>mCTAs</w:t>
      </w:r>
      <w:proofErr w:type="spellEnd"/>
      <w:r w:rsidRPr="007419A3">
        <w:t xml:space="preserve">. Sponsors (and/or CROs, as applicable) and </w:t>
      </w:r>
      <w:r>
        <w:t>P</w:t>
      </w:r>
      <w:r w:rsidRPr="007419A3">
        <w:t xml:space="preserve">articipating </w:t>
      </w:r>
      <w:r>
        <w:t>O</w:t>
      </w:r>
      <w:r w:rsidRPr="007419A3">
        <w:t xml:space="preserve">rganisations should use the NIHR </w:t>
      </w:r>
      <w:r>
        <w:t>interactive</w:t>
      </w:r>
      <w:r w:rsidRPr="007419A3">
        <w:t xml:space="preserve"> Costing Tool (</w:t>
      </w:r>
      <w:proofErr w:type="spellStart"/>
      <w:r w:rsidRPr="007419A3">
        <w:t>iCT</w:t>
      </w:r>
      <w:proofErr w:type="spellEnd"/>
      <w:r w:rsidRPr="007419A3">
        <w:t>) to derive a contract value, in line with the nation</w:t>
      </w:r>
      <w:r>
        <w:t>-</w:t>
      </w:r>
      <w:r w:rsidRPr="007419A3">
        <w:t>specific processes of the UK nation in which the participating organisation is established.</w:t>
      </w:r>
    </w:p>
    <w:p w14:paraId="37695180" w14:textId="77777777" w:rsidR="008637D2" w:rsidRPr="007419A3" w:rsidRDefault="008637D2" w:rsidP="008637D2">
      <w:pPr>
        <w:ind w:left="567"/>
      </w:pPr>
      <w:r w:rsidRPr="007419A3">
        <w:t xml:space="preserve">The financial and other interests of universities that might employ the medical academics and sometimes the research fellows and research nurses involved in clinical trials should be recognised by </w:t>
      </w:r>
      <w:r>
        <w:t>P</w:t>
      </w:r>
      <w:r w:rsidRPr="007419A3">
        <w:t xml:space="preserve">articipating </w:t>
      </w:r>
      <w:r>
        <w:t>O</w:t>
      </w:r>
      <w:r w:rsidRPr="007419A3">
        <w:t xml:space="preserve">rganisations. The notification arrangements noted above are designed to ensure that universities have the information needed for the protection of their interests. There should be formal agreement between </w:t>
      </w:r>
      <w:r>
        <w:t>P</w:t>
      </w:r>
      <w:r w:rsidRPr="007419A3">
        <w:t xml:space="preserve">articipating </w:t>
      </w:r>
      <w:r>
        <w:t>O</w:t>
      </w:r>
      <w:r w:rsidRPr="007419A3">
        <w:t xml:space="preserve">rganisations and universities, covering their entire clinical trials portfolio, setting out processes for the identification of the university’s direct and indirect costs and overheads, and the apportioning of research income between the institutions. This issue could be covered in the partnership agreements between </w:t>
      </w:r>
      <w:r>
        <w:t>P</w:t>
      </w:r>
      <w:r w:rsidRPr="007419A3">
        <w:t xml:space="preserve">articipating </w:t>
      </w:r>
      <w:r>
        <w:t>O</w:t>
      </w:r>
      <w:r w:rsidRPr="007419A3">
        <w:t xml:space="preserve">rganisations and associated academic institutions that are negotiated in the process of implementing research governance arrangements. In the case of clinical trials for which the </w:t>
      </w:r>
      <w:proofErr w:type="gramStart"/>
      <w:r w:rsidRPr="007419A3">
        <w:t>investigator’s</w:t>
      </w:r>
      <w:proofErr w:type="gramEnd"/>
      <w:r w:rsidRPr="007419A3">
        <w:t xml:space="preserve"> or site team members’ substantive contract is held by a university, the university should be involved in the calculation of staff costs for the trial and the NHS research managers should agree the content of the financial schedule with the university. Appendix 4 should be populated with details of the financial arrangements of the clinical </w:t>
      </w:r>
      <w:proofErr w:type="gramStart"/>
      <w:r w:rsidRPr="007419A3">
        <w:t>trial</w:t>
      </w:r>
      <w:proofErr w:type="gramEnd"/>
      <w:r w:rsidRPr="007419A3">
        <w:t xml:space="preserve"> and it should not be used for other matters.</w:t>
      </w:r>
    </w:p>
    <w:p w14:paraId="5E6867C7" w14:textId="77777777" w:rsidR="008637D2" w:rsidRPr="007419A3" w:rsidRDefault="008637D2" w:rsidP="008637D2">
      <w:pPr>
        <w:ind w:left="567"/>
      </w:pPr>
      <w:r w:rsidRPr="007419A3">
        <w:t>There should not be separate financial arrangements between the Sponsor (</w:t>
      </w:r>
      <w:r>
        <w:t>or</w:t>
      </w:r>
      <w:r w:rsidRPr="007419A3">
        <w:t xml:space="preserve"> CRO, as applicable) and any </w:t>
      </w:r>
      <w:r>
        <w:t>P</w:t>
      </w:r>
      <w:r w:rsidRPr="007419A3">
        <w:t xml:space="preserve">articipating </w:t>
      </w:r>
      <w:r>
        <w:t>O</w:t>
      </w:r>
      <w:r w:rsidRPr="007419A3">
        <w:t>rganisation departments such as the pharmacy, nor with the university that employs an investigator.</w:t>
      </w:r>
    </w:p>
    <w:p w14:paraId="666213AF" w14:textId="77777777" w:rsidR="008637D2" w:rsidRPr="007419A3" w:rsidRDefault="008637D2" w:rsidP="008637D2">
      <w:pPr>
        <w:ind w:left="567"/>
      </w:pPr>
      <w:r w:rsidRPr="007419A3">
        <w:t>The staging or scheduling of payments should be negotiated, including any payments to be made before administration of the Investigational Drug(s), or any other clinical intervention mandated by the protocol, (e.g. site set-up costs) and whether such payments are refundable or non-refundable.</w:t>
      </w:r>
    </w:p>
    <w:p w14:paraId="5B9A0AF9" w14:textId="77777777" w:rsidR="008637D2" w:rsidRPr="007419A3" w:rsidRDefault="008637D2" w:rsidP="008637D2">
      <w:pPr>
        <w:ind w:left="567"/>
      </w:pPr>
      <w:r w:rsidRPr="007419A3">
        <w:t xml:space="preserve">Clinical trials are undertaken by </w:t>
      </w:r>
      <w:r>
        <w:t>P</w:t>
      </w:r>
      <w:r w:rsidRPr="007419A3">
        <w:t xml:space="preserve">articipating </w:t>
      </w:r>
      <w:r>
        <w:t>O</w:t>
      </w:r>
      <w:r w:rsidRPr="007419A3">
        <w:t xml:space="preserve">rganisations under income generation rules and are commercial services supplied under contract to companies. Invoicing arrangements should be via the </w:t>
      </w:r>
      <w:r>
        <w:t>P</w:t>
      </w:r>
      <w:r w:rsidRPr="007419A3">
        <w:t xml:space="preserve">articipating </w:t>
      </w:r>
      <w:r>
        <w:t>O</w:t>
      </w:r>
      <w:r w:rsidRPr="007419A3">
        <w:t>rganisation’s finance department using formal VAT invoices in compliance with NHS Standing Financial Instructions.</w:t>
      </w:r>
    </w:p>
    <w:p w14:paraId="1A9C2F0C" w14:textId="77777777" w:rsidR="008637D2" w:rsidRPr="008637D2" w:rsidRDefault="008637D2" w:rsidP="008637D2">
      <w:pPr>
        <w:pStyle w:val="Normalnos"/>
        <w:ind w:left="567"/>
      </w:pPr>
      <w:r>
        <w:rPr>
          <w:b/>
        </w:rPr>
        <w:t>Appendix 5</w:t>
      </w:r>
    </w:p>
    <w:p w14:paraId="54A21F6A" w14:textId="4C750F8A" w:rsidR="008637D2" w:rsidRDefault="008637D2" w:rsidP="008637D2">
      <w:pPr>
        <w:ind w:left="567"/>
      </w:pPr>
      <w:r w:rsidRPr="007419A3">
        <w:t xml:space="preserve">It should be noted that there is an obligation on </w:t>
      </w:r>
      <w:r>
        <w:t>P</w:t>
      </w:r>
      <w:r w:rsidRPr="007419A3">
        <w:t xml:space="preserve">articipating </w:t>
      </w:r>
      <w:r>
        <w:t>O</w:t>
      </w:r>
      <w:r w:rsidRPr="007419A3">
        <w:t>rganisations that are not members of the relevant risk pooling scheme, to ensure that the Principal Investigator carries medical liability insurance.</w:t>
      </w:r>
    </w:p>
    <w:p w14:paraId="628DE3E6" w14:textId="6BC60FF8" w:rsidR="008637D2" w:rsidRPr="008637D2" w:rsidRDefault="008637D2" w:rsidP="008637D2">
      <w:pPr>
        <w:pStyle w:val="Normalnos"/>
        <w:ind w:left="567"/>
      </w:pPr>
      <w:r w:rsidRPr="00C81818">
        <w:rPr>
          <w:b/>
        </w:rPr>
        <w:t>Appendix 7</w:t>
      </w:r>
      <w:r>
        <w:rPr>
          <w:b/>
        </w:rPr>
        <w:t>:</w:t>
      </w:r>
      <w:r w:rsidRPr="00C81818">
        <w:rPr>
          <w:b/>
        </w:rPr>
        <w:t xml:space="preserve"> Equipment </w:t>
      </w:r>
      <w:r>
        <w:rPr>
          <w:b/>
        </w:rPr>
        <w:t>and</w:t>
      </w:r>
      <w:r w:rsidRPr="00C81818">
        <w:rPr>
          <w:b/>
        </w:rPr>
        <w:t xml:space="preserve"> Resources</w:t>
      </w:r>
    </w:p>
    <w:p w14:paraId="4A8EB832" w14:textId="715F5133" w:rsidR="008637D2" w:rsidRPr="007419A3" w:rsidRDefault="008637D2" w:rsidP="008637D2">
      <w:pPr>
        <w:ind w:left="567"/>
      </w:pPr>
      <w:r w:rsidRPr="007419A3">
        <w:t>Where no Equipment/Resources are being provided Appendix 7 should be omitted from the final clinical trial agreement.</w:t>
      </w:r>
    </w:p>
    <w:p w14:paraId="603D3ED6" w14:textId="77777777" w:rsidR="008637D2" w:rsidRPr="007419A3" w:rsidRDefault="008637D2" w:rsidP="008637D2">
      <w:pPr>
        <w:ind w:left="567"/>
      </w:pPr>
      <w:r w:rsidRPr="007419A3">
        <w:t xml:space="preserve">Appendix 7 includes tables where equipment and resources that are provided by </w:t>
      </w:r>
      <w:r>
        <w:t>S</w:t>
      </w:r>
      <w:r w:rsidRPr="007419A3">
        <w:t xml:space="preserve">ponsors (and/or CROs, as applicable) for the clinical trial should be listed. These tables include a column where the depreciated value of the equipment/resources can be detailed. It is noted that there is no standard method for determining depreciation and therefore, this must be discussed and agreed between </w:t>
      </w:r>
      <w:r>
        <w:t>S</w:t>
      </w:r>
      <w:r w:rsidRPr="007419A3">
        <w:t xml:space="preserve">ponsor and </w:t>
      </w:r>
      <w:r>
        <w:t>P</w:t>
      </w:r>
      <w:r w:rsidRPr="007419A3">
        <w:t xml:space="preserve">articipating </w:t>
      </w:r>
      <w:r>
        <w:t>O</w:t>
      </w:r>
      <w:r w:rsidRPr="007419A3">
        <w:t>rganisation (and CRO, as applicable).</w:t>
      </w:r>
    </w:p>
    <w:p w14:paraId="28A08E6E" w14:textId="77777777" w:rsidR="008637D2" w:rsidRPr="007419A3" w:rsidRDefault="008637D2" w:rsidP="008637D2">
      <w:pPr>
        <w:ind w:left="567"/>
      </w:pPr>
      <w:r w:rsidRPr="007419A3">
        <w:t xml:space="preserve">The </w:t>
      </w:r>
      <w:r>
        <w:t>S</w:t>
      </w:r>
      <w:r w:rsidRPr="007419A3">
        <w:t>ponsor (or CRO, as applicable) should indicate whether alternative 1 or 2 should be used with respect to liability in Clause 7.2 of Appendix 7. The selection should be clearly indicated in the agreement.</w:t>
      </w:r>
    </w:p>
    <w:p w14:paraId="3284E103" w14:textId="77777777" w:rsidR="008637D2" w:rsidRPr="007419A3" w:rsidRDefault="008637D2" w:rsidP="008637D2">
      <w:pPr>
        <w:ind w:left="567"/>
      </w:pPr>
      <w:r w:rsidRPr="007419A3">
        <w:t>It is noted that Northern Ireland does not have any MIA arrangements and that the MIA in England is not applicable to equipment loaned or gifted for the purpose of clinical trials. Alternative</w:t>
      </w:r>
      <w:r>
        <w:t xml:space="preserve"> </w:t>
      </w:r>
      <w:r w:rsidRPr="007419A3">
        <w:t xml:space="preserve">#1 must be used where the </w:t>
      </w:r>
      <w:r>
        <w:t>P</w:t>
      </w:r>
      <w:r w:rsidRPr="007419A3">
        <w:t xml:space="preserve">articipating </w:t>
      </w:r>
      <w:r>
        <w:t>O</w:t>
      </w:r>
      <w:r w:rsidRPr="007419A3">
        <w:t>rganisation is constituted in England or Northern Ireland.</w:t>
      </w:r>
    </w:p>
    <w:p w14:paraId="5112658E" w14:textId="77777777" w:rsidR="008637D2" w:rsidRPr="008637D2" w:rsidRDefault="008637D2" w:rsidP="008637D2">
      <w:pPr>
        <w:pStyle w:val="Normalnos"/>
        <w:ind w:left="567"/>
      </w:pPr>
      <w:r w:rsidRPr="0021051B">
        <w:rPr>
          <w:b/>
        </w:rPr>
        <w:t>Appendix 8 (CRO-</w:t>
      </w:r>
      <w:proofErr w:type="spellStart"/>
      <w:r w:rsidRPr="0021051B">
        <w:rPr>
          <w:b/>
        </w:rPr>
        <w:t>mCTA</w:t>
      </w:r>
      <w:proofErr w:type="spellEnd"/>
      <w:r w:rsidRPr="0021051B">
        <w:rPr>
          <w:b/>
        </w:rPr>
        <w:t xml:space="preserve"> only)</w:t>
      </w:r>
      <w:r>
        <w:rPr>
          <w:b/>
        </w:rPr>
        <w:t>:</w:t>
      </w:r>
      <w:r w:rsidRPr="0021051B">
        <w:rPr>
          <w:b/>
        </w:rPr>
        <w:t xml:space="preserve"> Sponsor’s Clinical Trial Related Duties and Functions Under ICH</w:t>
      </w:r>
      <w:r>
        <w:rPr>
          <w:b/>
        </w:rPr>
        <w:t>-</w:t>
      </w:r>
      <w:r w:rsidRPr="0021051B">
        <w:rPr>
          <w:b/>
        </w:rPr>
        <w:t>GCP to be Performed by CRO</w:t>
      </w:r>
    </w:p>
    <w:p w14:paraId="5B0D8208" w14:textId="03057E21" w:rsidR="008637D2" w:rsidRDefault="008637D2" w:rsidP="008637D2">
      <w:pPr>
        <w:ind w:left="567"/>
      </w:pPr>
      <w:r w:rsidRPr="007419A3">
        <w:t xml:space="preserve">This </w:t>
      </w:r>
      <w:r>
        <w:t>A</w:t>
      </w:r>
      <w:r w:rsidRPr="007419A3">
        <w:t xml:space="preserve">ppendix should clearly set out which </w:t>
      </w:r>
      <w:r>
        <w:t>S</w:t>
      </w:r>
      <w:r w:rsidRPr="007419A3">
        <w:t>ponsor responsibilities for site management will be performed by the CRO.</w:t>
      </w:r>
      <w:r>
        <w:t xml:space="preserve"> </w:t>
      </w:r>
      <w:r w:rsidRPr="00877AFC">
        <w:rPr>
          <w:lang w:val="en-US"/>
        </w:rPr>
        <w:t>If the Sponsor has formally empowered the CRO to sign this Agreement and thereby legally bind the Sponsor to its terms as a Party, this must be explicitly evidenced.</w:t>
      </w:r>
    </w:p>
    <w:p w14:paraId="39DA1C43" w14:textId="77777777" w:rsidR="008637D2" w:rsidRDefault="008637D2" w:rsidP="00050471">
      <w:pPr>
        <w:pStyle w:val="Normalnos"/>
        <w:keepNext/>
        <w:ind w:left="567"/>
      </w:pPr>
      <w:r w:rsidRPr="0021051B">
        <w:rPr>
          <w:b/>
        </w:rPr>
        <w:t xml:space="preserve">Appendix 9 (Appendix 8 CRO </w:t>
      </w:r>
      <w:proofErr w:type="spellStart"/>
      <w:r w:rsidRPr="0021051B">
        <w:rPr>
          <w:b/>
        </w:rPr>
        <w:t>mCTA</w:t>
      </w:r>
      <w:proofErr w:type="spellEnd"/>
      <w:r w:rsidRPr="0021051B">
        <w:rPr>
          <w:b/>
        </w:rPr>
        <w:t>)</w:t>
      </w:r>
      <w:r>
        <w:rPr>
          <w:b/>
        </w:rPr>
        <w:t>:</w:t>
      </w:r>
      <w:r w:rsidRPr="0021051B">
        <w:rPr>
          <w:b/>
        </w:rPr>
        <w:t xml:space="preserve"> Formal Delegation of Authority from Sponsor to a </w:t>
      </w:r>
      <w:r>
        <w:rPr>
          <w:b/>
        </w:rPr>
        <w:t>Corporate Affiliate</w:t>
      </w:r>
      <w:r w:rsidRPr="0021051B">
        <w:rPr>
          <w:b/>
        </w:rPr>
        <w:t xml:space="preserve"> to Contractually Bind the Sponsor as a Party to this Agreement</w:t>
      </w:r>
    </w:p>
    <w:p w14:paraId="7B642AC0" w14:textId="7AFA48CC" w:rsidR="008637D2" w:rsidRPr="008B39DD" w:rsidRDefault="00050471" w:rsidP="00050471">
      <w:pPr>
        <w:ind w:left="567"/>
      </w:pPr>
      <w:r>
        <w:t>Where applicable, attach here evidence of formal delegation of authority, from the Sponsor to the corporate Affiliate of the Sponsor, to sign this Agreement and thereby legal bind the Sponsor to its terms as a Party.</w:t>
      </w:r>
    </w:p>
    <w:p w14:paraId="7F311FB3" w14:textId="77777777" w:rsidR="0021051B" w:rsidRPr="005832FA" w:rsidRDefault="0021051B" w:rsidP="00050471">
      <w:pPr>
        <w:pStyle w:val="Heading1"/>
      </w:pPr>
      <w:r w:rsidRPr="005832FA">
        <w:t xml:space="preserve">Contact Points for </w:t>
      </w:r>
      <w:r w:rsidRPr="00A321B9">
        <w:t>Advice</w:t>
      </w:r>
      <w:r w:rsidRPr="005832FA">
        <w:t xml:space="preserve"> and Assistance</w:t>
      </w:r>
    </w:p>
    <w:p w14:paraId="1E6E739D" w14:textId="05C62258" w:rsidR="0021051B" w:rsidRDefault="0021051B" w:rsidP="0021051B">
      <w:r w:rsidRPr="00A321B9">
        <w:rPr>
          <w:b/>
        </w:rPr>
        <w:t xml:space="preserve">For queries relating to the use of the </w:t>
      </w:r>
      <w:proofErr w:type="spellStart"/>
      <w:r w:rsidRPr="00A321B9">
        <w:rPr>
          <w:b/>
        </w:rPr>
        <w:t>mCTAs</w:t>
      </w:r>
      <w:proofErr w:type="spellEnd"/>
      <w:r w:rsidRPr="00A321B9">
        <w:rPr>
          <w:b/>
        </w:rPr>
        <w:t xml:space="preserve"> for trials taking place in England</w:t>
      </w:r>
      <w:r>
        <w:t>:</w:t>
      </w:r>
      <w:r w:rsidR="00A321B9">
        <w:br/>
      </w:r>
      <w:r w:rsidRPr="005832FA">
        <w:t xml:space="preserve">please contact the Health Research Authority, at </w:t>
      </w:r>
      <w:hyperlink r:id="rId14" w:history="1">
        <w:r w:rsidRPr="005832FA">
          <w:rPr>
            <w:rStyle w:val="Hyperlink"/>
          </w:rPr>
          <w:t>mcta@hra.nhs.uk</w:t>
        </w:r>
      </w:hyperlink>
      <w:r w:rsidRPr="005832FA">
        <w:t>.</w:t>
      </w:r>
    </w:p>
    <w:p w14:paraId="672F6F27" w14:textId="7918ADA0" w:rsidR="0021051B" w:rsidRDefault="0021051B" w:rsidP="0021051B">
      <w:r w:rsidRPr="00A321B9">
        <w:rPr>
          <w:b/>
        </w:rPr>
        <w:t>For queries relating to use in Wales</w:t>
      </w:r>
      <w:r>
        <w:t>:</w:t>
      </w:r>
      <w:r w:rsidR="00A321B9">
        <w:br/>
      </w:r>
      <w:r w:rsidRPr="005832FA">
        <w:t xml:space="preserve">please contact the Health and Care Research Wales Support </w:t>
      </w:r>
      <w:r w:rsidR="00802E41">
        <w:t xml:space="preserve">and Delivery </w:t>
      </w:r>
      <w:r w:rsidRPr="005832FA">
        <w:t xml:space="preserve">Centre at </w:t>
      </w:r>
      <w:hyperlink r:id="rId15" w:history="1">
        <w:r w:rsidRPr="005832FA">
          <w:rPr>
            <w:rStyle w:val="Hyperlink"/>
          </w:rPr>
          <w:t>research-contracts@wales.nhs.uk</w:t>
        </w:r>
      </w:hyperlink>
      <w:r w:rsidRPr="005832FA">
        <w:t>.</w:t>
      </w:r>
    </w:p>
    <w:p w14:paraId="5B10C1E9" w14:textId="536F72AE" w:rsidR="0021051B" w:rsidRDefault="0021051B" w:rsidP="0021051B">
      <w:r w:rsidRPr="00A321B9">
        <w:rPr>
          <w:b/>
        </w:rPr>
        <w:t>For queries relating to use in Scotland</w:t>
      </w:r>
      <w:r>
        <w:t>:</w:t>
      </w:r>
      <w:r w:rsidR="00A321B9">
        <w:br/>
      </w:r>
      <w:r w:rsidRPr="005832FA">
        <w:t xml:space="preserve">please contact NHS Research Scotland at </w:t>
      </w:r>
      <w:hyperlink r:id="rId16" w:history="1">
        <w:r w:rsidRPr="005832FA">
          <w:rPr>
            <w:rStyle w:val="Hyperlink"/>
          </w:rPr>
          <w:t>enquiries@nrs.org.uk</w:t>
        </w:r>
      </w:hyperlink>
      <w:r w:rsidRPr="005832FA">
        <w:t>.</w:t>
      </w:r>
    </w:p>
    <w:p w14:paraId="1A9A140F" w14:textId="166786C5" w:rsidR="0021051B" w:rsidRPr="005832FA" w:rsidRDefault="0021051B" w:rsidP="0021051B">
      <w:r w:rsidRPr="00A321B9">
        <w:rPr>
          <w:b/>
        </w:rPr>
        <w:t>For queries relating to use in Northern Ireland</w:t>
      </w:r>
      <w:r>
        <w:t>:</w:t>
      </w:r>
      <w:r w:rsidR="00A321B9">
        <w:br/>
      </w:r>
      <w:r w:rsidRPr="005832FA">
        <w:t xml:space="preserve">please contact </w:t>
      </w:r>
      <w:hyperlink r:id="rId17" w:history="1">
        <w:r w:rsidRPr="005832FA">
          <w:rPr>
            <w:rStyle w:val="Hyperlink"/>
          </w:rPr>
          <w:t>ResearchContracts@innovations.hscni.net</w:t>
        </w:r>
      </w:hyperlink>
      <w:r w:rsidRPr="005832FA">
        <w:t>.</w:t>
      </w:r>
    </w:p>
    <w:sectPr w:rsidR="0021051B" w:rsidRPr="005832FA" w:rsidSect="000E3576">
      <w:headerReference w:type="default" r:id="rId18"/>
      <w:footerReference w:type="default" r:id="rId19"/>
      <w:pgSz w:w="11906" w:h="16838"/>
      <w:pgMar w:top="1247" w:right="1134" w:bottom="1134" w:left="147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39AA" w14:textId="77777777" w:rsidR="004F4481" w:rsidRDefault="004F4481" w:rsidP="00364C90">
      <w:pPr>
        <w:spacing w:after="0"/>
      </w:pPr>
      <w:r>
        <w:separator/>
      </w:r>
    </w:p>
  </w:endnote>
  <w:endnote w:type="continuationSeparator" w:id="0">
    <w:p w14:paraId="5BD06C2B" w14:textId="77777777" w:rsidR="004F4481" w:rsidRDefault="004F4481" w:rsidP="00364C90">
      <w:pPr>
        <w:spacing w:after="0"/>
      </w:pPr>
      <w:r>
        <w:continuationSeparator/>
      </w:r>
    </w:p>
  </w:endnote>
  <w:endnote w:type="continuationNotice" w:id="1">
    <w:p w14:paraId="454CE982" w14:textId="77777777" w:rsidR="00693739" w:rsidRDefault="006937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12E2" w14:textId="77777777" w:rsidR="00C81818" w:rsidRDefault="00C81818" w:rsidP="007C1840">
    <w:pPr>
      <w:pBdr>
        <w:top w:val="single" w:sz="4" w:space="1" w:color="auto"/>
      </w:pBdr>
      <w:tabs>
        <w:tab w:val="right" w:pos="9214"/>
      </w:tabs>
      <w:spacing w:after="0"/>
      <w:rPr>
        <w:sz w:val="20"/>
        <w:szCs w:val="20"/>
        <w:highlight w:val="yellow"/>
      </w:rPr>
    </w:pPr>
  </w:p>
  <w:p w14:paraId="5B49DF84" w14:textId="5367E99E" w:rsidR="00C81818" w:rsidRPr="00153ADD" w:rsidRDefault="00C81818" w:rsidP="007C1840">
    <w:pPr>
      <w:tabs>
        <w:tab w:val="right" w:pos="9356"/>
      </w:tabs>
      <w:spacing w:after="0"/>
      <w:jc w:val="right"/>
      <w:rPr>
        <w:sz w:val="22"/>
      </w:rPr>
    </w:pPr>
    <w:r w:rsidRPr="008D70D2">
      <w:rPr>
        <w:sz w:val="22"/>
      </w:rPr>
      <w:fldChar w:fldCharType="begin"/>
    </w:r>
    <w:r w:rsidRPr="008D70D2">
      <w:rPr>
        <w:sz w:val="22"/>
      </w:rPr>
      <w:instrText xml:space="preserve"> PAGE   \* MERGEFORMAT </w:instrText>
    </w:r>
    <w:r w:rsidRPr="008D70D2">
      <w:rPr>
        <w:sz w:val="22"/>
      </w:rPr>
      <w:fldChar w:fldCharType="separate"/>
    </w:r>
    <w:r>
      <w:t>2</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70D2">
      <w:rPr>
        <w:color w:val="7F7F7F" w:themeColor="background1" w:themeShade="7F"/>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9416" w14:textId="77777777" w:rsidR="004F4481" w:rsidRDefault="004F4481" w:rsidP="00364C90">
      <w:pPr>
        <w:spacing w:after="0"/>
      </w:pPr>
      <w:r>
        <w:separator/>
      </w:r>
    </w:p>
  </w:footnote>
  <w:footnote w:type="continuationSeparator" w:id="0">
    <w:p w14:paraId="236C8A84" w14:textId="77777777" w:rsidR="004F4481" w:rsidRDefault="004F4481" w:rsidP="00364C90">
      <w:pPr>
        <w:spacing w:after="0"/>
      </w:pPr>
      <w:r>
        <w:continuationSeparator/>
      </w:r>
    </w:p>
  </w:footnote>
  <w:footnote w:type="continuationNotice" w:id="1">
    <w:p w14:paraId="2F588161" w14:textId="77777777" w:rsidR="00693739" w:rsidRDefault="006937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B0D6" w14:textId="6CB9D4CA" w:rsidR="00C81818" w:rsidRDefault="00C81818" w:rsidP="007C1840">
    <w:pPr>
      <w:pStyle w:val="Header"/>
      <w:spacing w:after="120"/>
      <w:rPr>
        <w:sz w:val="18"/>
        <w:szCs w:val="18"/>
      </w:rPr>
    </w:pPr>
    <w:r>
      <w:rPr>
        <w:sz w:val="18"/>
        <w:szCs w:val="18"/>
      </w:rPr>
      <w:t>Model Clinical Trial Agreement</w:t>
    </w:r>
    <w:r w:rsidR="00AF2C52">
      <w:rPr>
        <w:sz w:val="18"/>
        <w:szCs w:val="18"/>
      </w:rPr>
      <w:t xml:space="preserve"> for investigational Advanced Therapy Medicinal Products</w:t>
    </w:r>
    <w:r>
      <w:rPr>
        <w:sz w:val="18"/>
        <w:szCs w:val="18"/>
      </w:rPr>
      <w:t xml:space="preserve"> (</w:t>
    </w:r>
    <w:r w:rsidR="00AF0A48">
      <w:rPr>
        <w:sz w:val="18"/>
        <w:szCs w:val="18"/>
      </w:rPr>
      <w:t>ATiMP-</w:t>
    </w:r>
    <w:proofErr w:type="spellStart"/>
    <w:r>
      <w:rPr>
        <w:sz w:val="18"/>
        <w:szCs w:val="18"/>
      </w:rPr>
      <w:t>mCTA</w:t>
    </w:r>
    <w:proofErr w:type="spellEnd"/>
    <w:r>
      <w:rPr>
        <w:sz w:val="18"/>
        <w:szCs w:val="18"/>
      </w:rPr>
      <w:t xml:space="preserve">) and Clinical Research Organisation </w:t>
    </w:r>
    <w:r w:rsidRPr="00041CB3">
      <w:rPr>
        <w:sz w:val="18"/>
        <w:szCs w:val="18"/>
      </w:rPr>
      <w:t xml:space="preserve">Model Clinical Trial Agreement </w:t>
    </w:r>
    <w:r>
      <w:rPr>
        <w:sz w:val="18"/>
        <w:szCs w:val="18"/>
      </w:rPr>
      <w:t>(CRO-</w:t>
    </w:r>
    <w:r w:rsidR="00AF0A48">
      <w:rPr>
        <w:sz w:val="18"/>
        <w:szCs w:val="18"/>
      </w:rPr>
      <w:t>ATiMP-</w:t>
    </w:r>
    <w:proofErr w:type="spellStart"/>
    <w:r>
      <w:rPr>
        <w:sz w:val="18"/>
        <w:szCs w:val="18"/>
      </w:rPr>
      <w:t>mCTA</w:t>
    </w:r>
    <w:proofErr w:type="spellEnd"/>
    <w:r>
      <w:rPr>
        <w:sz w:val="18"/>
        <w:szCs w:val="18"/>
      </w:rPr>
      <w:t xml:space="preserve">) </w:t>
    </w:r>
    <w:r w:rsidRPr="00041CB3">
      <w:rPr>
        <w:sz w:val="18"/>
        <w:szCs w:val="18"/>
      </w:rPr>
      <w:t>(</w:t>
    </w:r>
    <w:r w:rsidR="00AF0A48">
      <w:rPr>
        <w:sz w:val="18"/>
        <w:szCs w:val="18"/>
      </w:rPr>
      <w:t>July</w:t>
    </w:r>
    <w:r w:rsidR="00AF0A48" w:rsidRPr="00041CB3">
      <w:rPr>
        <w:sz w:val="18"/>
        <w:szCs w:val="18"/>
      </w:rPr>
      <w:t xml:space="preserve"> </w:t>
    </w:r>
    <w:r>
      <w:rPr>
        <w:sz w:val="18"/>
        <w:szCs w:val="18"/>
      </w:rPr>
      <w:t>202</w:t>
    </w:r>
    <w:r w:rsidR="00727733">
      <w:rPr>
        <w:sz w:val="18"/>
        <w:szCs w:val="18"/>
      </w:rPr>
      <w:t>1</w:t>
    </w:r>
    <w:r w:rsidRPr="00041CB3">
      <w:rPr>
        <w:sz w:val="18"/>
        <w:szCs w:val="18"/>
      </w:rPr>
      <w:t>)</w:t>
    </w:r>
    <w:r>
      <w:rPr>
        <w:sz w:val="18"/>
        <w:szCs w:val="18"/>
      </w:rPr>
      <w:t xml:space="preserve"> – </w:t>
    </w:r>
    <w:r w:rsidRPr="00041CB3">
      <w:rPr>
        <w:sz w:val="18"/>
        <w:szCs w:val="18"/>
      </w:rPr>
      <w:t>Guidance (</w:t>
    </w:r>
    <w:r w:rsidR="00AF0A48">
      <w:rPr>
        <w:sz w:val="18"/>
        <w:szCs w:val="18"/>
      </w:rPr>
      <w:t>Ju</w:t>
    </w:r>
    <w:r w:rsidR="002F3436">
      <w:rPr>
        <w:sz w:val="18"/>
        <w:szCs w:val="18"/>
      </w:rPr>
      <w:t>ly</w:t>
    </w:r>
    <w:r w:rsidR="00AF0A48" w:rsidRPr="00041CB3">
      <w:rPr>
        <w:sz w:val="18"/>
        <w:szCs w:val="18"/>
      </w:rPr>
      <w:t xml:space="preserve"> </w:t>
    </w:r>
    <w:r>
      <w:rPr>
        <w:sz w:val="18"/>
        <w:szCs w:val="18"/>
      </w:rPr>
      <w:t>202</w:t>
    </w:r>
    <w:r w:rsidR="00727733">
      <w:rPr>
        <w:sz w:val="18"/>
        <w:szCs w:val="18"/>
      </w:rPr>
      <w:t>1</w:t>
    </w:r>
    <w:r w:rsidRPr="00041CB3">
      <w:rPr>
        <w:sz w:val="18"/>
        <w:szCs w:val="18"/>
      </w:rPr>
      <w:t>)</w:t>
    </w:r>
  </w:p>
  <w:p w14:paraId="3FB37B3F" w14:textId="77777777" w:rsidR="00C81818" w:rsidRDefault="00C81818" w:rsidP="007C1840">
    <w:pPr>
      <w:pBdr>
        <w:top w:val="single" w:sz="6" w:space="1" w:color="auto"/>
      </w:pBd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45"/>
    <w:multiLevelType w:val="hybridMultilevel"/>
    <w:tmpl w:val="0F7097E8"/>
    <w:lvl w:ilvl="0" w:tplc="205A7CC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B30957"/>
    <w:multiLevelType w:val="multilevel"/>
    <w:tmpl w:val="457295E4"/>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b w:val="0"/>
        <w:bCs w:val="0"/>
      </w:rPr>
    </w:lvl>
    <w:lvl w:ilvl="2">
      <w:start w:val="1"/>
      <w:numFmt w:val="decimal"/>
      <w:pStyle w:val="Sub-clauselevel2"/>
      <w:lvlText w:val="%1.%2.%3"/>
      <w:lvlJc w:val="left"/>
      <w:pPr>
        <w:ind w:left="1135"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EB24F0"/>
    <w:multiLevelType w:val="hybridMultilevel"/>
    <w:tmpl w:val="7F3A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8" w15:restartNumberingAfterBreak="0">
    <w:nsid w:val="31B10F5D"/>
    <w:multiLevelType w:val="multilevel"/>
    <w:tmpl w:val="13D646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0"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B36E50"/>
    <w:multiLevelType w:val="hybridMultilevel"/>
    <w:tmpl w:val="69B0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720EDD"/>
    <w:multiLevelType w:val="multilevel"/>
    <w:tmpl w:val="6C60FE3C"/>
    <w:styleLink w:val="Numbers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1134"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8695E7D"/>
    <w:multiLevelType w:val="hybridMultilevel"/>
    <w:tmpl w:val="3230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6"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16cid:durableId="2121104221">
    <w:abstractNumId w:val="1"/>
  </w:num>
  <w:num w:numId="2" w16cid:durableId="727335972">
    <w:abstractNumId w:val="4"/>
  </w:num>
  <w:num w:numId="3" w16cid:durableId="1748918320">
    <w:abstractNumId w:val="15"/>
  </w:num>
  <w:num w:numId="4" w16cid:durableId="979532120">
    <w:abstractNumId w:val="2"/>
  </w:num>
  <w:num w:numId="5" w16cid:durableId="18553396">
    <w:abstractNumId w:val="3"/>
  </w:num>
  <w:num w:numId="6" w16cid:durableId="1301378302">
    <w:abstractNumId w:val="16"/>
  </w:num>
  <w:num w:numId="7" w16cid:durableId="1121614185">
    <w:abstractNumId w:val="7"/>
  </w:num>
  <w:num w:numId="8" w16cid:durableId="1391878356">
    <w:abstractNumId w:val="7"/>
    <w:lvlOverride w:ilvl="0">
      <w:startOverride w:val="1"/>
    </w:lvlOverride>
  </w:num>
  <w:num w:numId="9" w16cid:durableId="1832523636">
    <w:abstractNumId w:val="9"/>
  </w:num>
  <w:num w:numId="10" w16cid:durableId="101387719">
    <w:abstractNumId w:val="7"/>
    <w:lvlOverride w:ilvl="0">
      <w:startOverride w:val="1"/>
    </w:lvlOverride>
  </w:num>
  <w:num w:numId="11" w16cid:durableId="59598852">
    <w:abstractNumId w:val="7"/>
    <w:lvlOverride w:ilvl="0">
      <w:startOverride w:val="1"/>
    </w:lvlOverride>
  </w:num>
  <w:num w:numId="12" w16cid:durableId="1831754459">
    <w:abstractNumId w:val="7"/>
    <w:lvlOverride w:ilvl="0">
      <w:startOverride w:val="1"/>
    </w:lvlOverride>
  </w:num>
  <w:num w:numId="13" w16cid:durableId="820007115">
    <w:abstractNumId w:val="7"/>
    <w:lvlOverride w:ilvl="0">
      <w:startOverride w:val="1"/>
    </w:lvlOverride>
  </w:num>
  <w:num w:numId="14" w16cid:durableId="1122118994">
    <w:abstractNumId w:val="7"/>
    <w:lvlOverride w:ilvl="0">
      <w:startOverride w:val="1"/>
    </w:lvlOverride>
  </w:num>
  <w:num w:numId="15" w16cid:durableId="671565195">
    <w:abstractNumId w:val="9"/>
    <w:lvlOverride w:ilvl="0">
      <w:startOverride w:val="1"/>
    </w:lvlOverride>
  </w:num>
  <w:num w:numId="16" w16cid:durableId="1523470431">
    <w:abstractNumId w:val="7"/>
    <w:lvlOverride w:ilvl="0">
      <w:startOverride w:val="1"/>
    </w:lvlOverride>
  </w:num>
  <w:num w:numId="17" w16cid:durableId="204872317">
    <w:abstractNumId w:val="7"/>
    <w:lvlOverride w:ilvl="0">
      <w:startOverride w:val="1"/>
    </w:lvlOverride>
  </w:num>
  <w:num w:numId="18" w16cid:durableId="1631204845">
    <w:abstractNumId w:val="7"/>
    <w:lvlOverride w:ilvl="0">
      <w:startOverride w:val="1"/>
    </w:lvlOverride>
  </w:num>
  <w:num w:numId="19" w16cid:durableId="824323528">
    <w:abstractNumId w:val="7"/>
    <w:lvlOverride w:ilvl="0">
      <w:startOverride w:val="1"/>
    </w:lvlOverride>
  </w:num>
  <w:num w:numId="20" w16cid:durableId="1339500285">
    <w:abstractNumId w:val="7"/>
    <w:lvlOverride w:ilvl="0">
      <w:startOverride w:val="1"/>
    </w:lvlOverride>
  </w:num>
  <w:num w:numId="21" w16cid:durableId="1156263655">
    <w:abstractNumId w:val="12"/>
  </w:num>
  <w:num w:numId="22" w16cid:durableId="961694871">
    <w:abstractNumId w:val="5"/>
  </w:num>
  <w:num w:numId="23" w16cid:durableId="1993366501">
    <w:abstractNumId w:val="13"/>
  </w:num>
  <w:num w:numId="24" w16cid:durableId="157770596">
    <w:abstractNumId w:val="0"/>
  </w:num>
  <w:num w:numId="25" w16cid:durableId="21193733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9200755">
    <w:abstractNumId w:val="13"/>
    <w:lvlOverride w:ilvl="0">
      <w:lvl w:ilvl="0">
        <w:start w:val="1"/>
        <w:numFmt w:val="decimal"/>
        <w:lvlText w:val="%1."/>
        <w:lvlJc w:val="left"/>
        <w:pPr>
          <w:ind w:left="567" w:hanging="567"/>
        </w:pPr>
        <w:rPr>
          <w:rFonts w:hint="default"/>
        </w:rPr>
      </w:lvl>
    </w:lvlOverride>
    <w:lvlOverride w:ilvl="1">
      <w:lvl w:ilvl="1">
        <w:start w:val="1"/>
        <w:numFmt w:val="decimal"/>
        <w:pStyle w:val="Normalnos"/>
        <w:lvlText w:val="%1.%2"/>
        <w:lvlJc w:val="left"/>
        <w:pPr>
          <w:ind w:left="1134" w:hanging="567"/>
        </w:pPr>
        <w:rPr>
          <w:rFonts w:hint="default"/>
        </w:rPr>
      </w:lvl>
    </w:lvlOverride>
    <w:lvlOverride w:ilvl="2">
      <w:lvl w:ilvl="2">
        <w:start w:val="1"/>
        <w:numFmt w:val="decimal"/>
        <w:lvlText w:val="%1.%2.%3"/>
        <w:lvlJc w:val="left"/>
        <w:pPr>
          <w:ind w:left="1843"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16cid:durableId="1681021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418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33008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140341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90100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81997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1214095">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7741539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54711450">
    <w:abstractNumId w:val="8"/>
  </w:num>
  <w:num w:numId="36" w16cid:durableId="607078786">
    <w:abstractNumId w:val="10"/>
  </w:num>
  <w:num w:numId="37" w16cid:durableId="1564179706">
    <w:abstractNumId w:val="11"/>
  </w:num>
  <w:num w:numId="38" w16cid:durableId="1258052057">
    <w:abstractNumId w:val="6"/>
  </w:num>
  <w:num w:numId="39" w16cid:durableId="1643080285">
    <w:abstractNumId w:val="14"/>
  </w:num>
  <w:num w:numId="40" w16cid:durableId="289870713">
    <w:abstractNumId w:val="13"/>
    <w:lvlOverride w:ilvl="0">
      <w:lvl w:ilvl="0">
        <w:start w:val="1"/>
        <w:numFmt w:val="decimal"/>
        <w:lvlText w:val="%1."/>
        <w:lvlJc w:val="left"/>
        <w:pPr>
          <w:ind w:left="567" w:hanging="567"/>
        </w:pPr>
        <w:rPr>
          <w:rFonts w:hint="default"/>
        </w:rPr>
      </w:lvl>
    </w:lvlOverride>
    <w:lvlOverride w:ilvl="1">
      <w:lvl w:ilvl="1">
        <w:start w:val="1"/>
        <w:numFmt w:val="decimal"/>
        <w:pStyle w:val="Normalnos"/>
        <w:lvlText w:val="%1.%2"/>
        <w:lvlJc w:val="left"/>
        <w:pPr>
          <w:ind w:left="1134" w:hanging="567"/>
        </w:pPr>
        <w:rPr>
          <w:rFonts w:hint="default"/>
        </w:rPr>
      </w:lvl>
    </w:lvlOverride>
    <w:lvlOverride w:ilvl="2">
      <w:lvl w:ilvl="2">
        <w:start w:val="1"/>
        <w:numFmt w:val="decimal"/>
        <w:lvlText w:val="%1.%2.%3"/>
        <w:lvlJc w:val="left"/>
        <w:pPr>
          <w:ind w:left="1843"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90"/>
    <w:rsid w:val="000009CB"/>
    <w:rsid w:val="00003BE8"/>
    <w:rsid w:val="00016A4D"/>
    <w:rsid w:val="00016FD8"/>
    <w:rsid w:val="00027A8A"/>
    <w:rsid w:val="00031021"/>
    <w:rsid w:val="00050471"/>
    <w:rsid w:val="00053AAA"/>
    <w:rsid w:val="00055EE6"/>
    <w:rsid w:val="00065D8A"/>
    <w:rsid w:val="00072D4C"/>
    <w:rsid w:val="00080D27"/>
    <w:rsid w:val="000A3222"/>
    <w:rsid w:val="000B6BAA"/>
    <w:rsid w:val="000E3576"/>
    <w:rsid w:val="000F3950"/>
    <w:rsid w:val="00104F2A"/>
    <w:rsid w:val="00114907"/>
    <w:rsid w:val="00131F33"/>
    <w:rsid w:val="001427E5"/>
    <w:rsid w:val="00145452"/>
    <w:rsid w:val="00145F7D"/>
    <w:rsid w:val="00147E4E"/>
    <w:rsid w:val="00152D33"/>
    <w:rsid w:val="00153ADD"/>
    <w:rsid w:val="00174D3E"/>
    <w:rsid w:val="00197A96"/>
    <w:rsid w:val="001A19A0"/>
    <w:rsid w:val="001A589E"/>
    <w:rsid w:val="001C4B62"/>
    <w:rsid w:val="001D09C8"/>
    <w:rsid w:val="001D214D"/>
    <w:rsid w:val="001F46B0"/>
    <w:rsid w:val="0021051B"/>
    <w:rsid w:val="002229AC"/>
    <w:rsid w:val="0024343C"/>
    <w:rsid w:val="00254241"/>
    <w:rsid w:val="00266827"/>
    <w:rsid w:val="002672A7"/>
    <w:rsid w:val="002740F5"/>
    <w:rsid w:val="00282453"/>
    <w:rsid w:val="002A3A8E"/>
    <w:rsid w:val="002C12B0"/>
    <w:rsid w:val="002C56FE"/>
    <w:rsid w:val="002E2B40"/>
    <w:rsid w:val="002E5C2A"/>
    <w:rsid w:val="002F3436"/>
    <w:rsid w:val="002F6FD4"/>
    <w:rsid w:val="003027CA"/>
    <w:rsid w:val="00304A1B"/>
    <w:rsid w:val="00306050"/>
    <w:rsid w:val="003204C7"/>
    <w:rsid w:val="00333292"/>
    <w:rsid w:val="00364A35"/>
    <w:rsid w:val="00364C90"/>
    <w:rsid w:val="0037237A"/>
    <w:rsid w:val="0039078D"/>
    <w:rsid w:val="003A6159"/>
    <w:rsid w:val="003A75FE"/>
    <w:rsid w:val="003B6DB7"/>
    <w:rsid w:val="003E4742"/>
    <w:rsid w:val="003F68A7"/>
    <w:rsid w:val="004175EE"/>
    <w:rsid w:val="0042020C"/>
    <w:rsid w:val="00432095"/>
    <w:rsid w:val="00441FC3"/>
    <w:rsid w:val="00443B08"/>
    <w:rsid w:val="00446CA3"/>
    <w:rsid w:val="004513ED"/>
    <w:rsid w:val="004657CF"/>
    <w:rsid w:val="0046610F"/>
    <w:rsid w:val="00466E54"/>
    <w:rsid w:val="00467F5F"/>
    <w:rsid w:val="00484C53"/>
    <w:rsid w:val="004A0E7E"/>
    <w:rsid w:val="004B29C2"/>
    <w:rsid w:val="004B5178"/>
    <w:rsid w:val="004C2B40"/>
    <w:rsid w:val="004C44A8"/>
    <w:rsid w:val="004D1B65"/>
    <w:rsid w:val="004E76E2"/>
    <w:rsid w:val="004E7AE8"/>
    <w:rsid w:val="004F026D"/>
    <w:rsid w:val="004F4481"/>
    <w:rsid w:val="00515F2A"/>
    <w:rsid w:val="00522B37"/>
    <w:rsid w:val="00530DEE"/>
    <w:rsid w:val="00536F87"/>
    <w:rsid w:val="00542210"/>
    <w:rsid w:val="00543819"/>
    <w:rsid w:val="0054757C"/>
    <w:rsid w:val="00571D65"/>
    <w:rsid w:val="005761C2"/>
    <w:rsid w:val="005A40C3"/>
    <w:rsid w:val="005B4069"/>
    <w:rsid w:val="005B6F81"/>
    <w:rsid w:val="005C57A0"/>
    <w:rsid w:val="005D603C"/>
    <w:rsid w:val="005E4105"/>
    <w:rsid w:val="005E4252"/>
    <w:rsid w:val="005E7718"/>
    <w:rsid w:val="0061546F"/>
    <w:rsid w:val="00633C79"/>
    <w:rsid w:val="00665260"/>
    <w:rsid w:val="006754A5"/>
    <w:rsid w:val="00685FCE"/>
    <w:rsid w:val="0068711D"/>
    <w:rsid w:val="00693739"/>
    <w:rsid w:val="00693815"/>
    <w:rsid w:val="006C32FE"/>
    <w:rsid w:val="006E42F4"/>
    <w:rsid w:val="007127A3"/>
    <w:rsid w:val="00716BA2"/>
    <w:rsid w:val="00721BA1"/>
    <w:rsid w:val="00727733"/>
    <w:rsid w:val="00780BDF"/>
    <w:rsid w:val="007853CD"/>
    <w:rsid w:val="007A4A78"/>
    <w:rsid w:val="007A71CD"/>
    <w:rsid w:val="007B55A0"/>
    <w:rsid w:val="007C1840"/>
    <w:rsid w:val="007C32CE"/>
    <w:rsid w:val="007E6EE9"/>
    <w:rsid w:val="007F2137"/>
    <w:rsid w:val="007F2D8E"/>
    <w:rsid w:val="007F576D"/>
    <w:rsid w:val="00802E41"/>
    <w:rsid w:val="0081344D"/>
    <w:rsid w:val="008211F2"/>
    <w:rsid w:val="008238D4"/>
    <w:rsid w:val="0083050E"/>
    <w:rsid w:val="00833804"/>
    <w:rsid w:val="00843179"/>
    <w:rsid w:val="00855A47"/>
    <w:rsid w:val="008635A2"/>
    <w:rsid w:val="008637D2"/>
    <w:rsid w:val="00865C0A"/>
    <w:rsid w:val="008718CA"/>
    <w:rsid w:val="00876DE5"/>
    <w:rsid w:val="00877AFC"/>
    <w:rsid w:val="008A0131"/>
    <w:rsid w:val="008C5367"/>
    <w:rsid w:val="008C7628"/>
    <w:rsid w:val="008D70D2"/>
    <w:rsid w:val="008D7EDB"/>
    <w:rsid w:val="008E3BE1"/>
    <w:rsid w:val="0090249C"/>
    <w:rsid w:val="0090638B"/>
    <w:rsid w:val="00921158"/>
    <w:rsid w:val="00926D52"/>
    <w:rsid w:val="00927FD4"/>
    <w:rsid w:val="00933DE3"/>
    <w:rsid w:val="00935AB5"/>
    <w:rsid w:val="00951756"/>
    <w:rsid w:val="00956045"/>
    <w:rsid w:val="00984EAC"/>
    <w:rsid w:val="009872B4"/>
    <w:rsid w:val="009A1E21"/>
    <w:rsid w:val="009A2269"/>
    <w:rsid w:val="009B5638"/>
    <w:rsid w:val="009B5B6F"/>
    <w:rsid w:val="009E5CF7"/>
    <w:rsid w:val="009F1028"/>
    <w:rsid w:val="009F3444"/>
    <w:rsid w:val="009F407C"/>
    <w:rsid w:val="009F47E8"/>
    <w:rsid w:val="00A04F03"/>
    <w:rsid w:val="00A20F7E"/>
    <w:rsid w:val="00A21B52"/>
    <w:rsid w:val="00A27F0E"/>
    <w:rsid w:val="00A321B9"/>
    <w:rsid w:val="00A4776F"/>
    <w:rsid w:val="00A702D7"/>
    <w:rsid w:val="00A750B6"/>
    <w:rsid w:val="00A81696"/>
    <w:rsid w:val="00A8412A"/>
    <w:rsid w:val="00A94234"/>
    <w:rsid w:val="00AB79B1"/>
    <w:rsid w:val="00AC47F6"/>
    <w:rsid w:val="00AE643C"/>
    <w:rsid w:val="00AE72F1"/>
    <w:rsid w:val="00AF0A48"/>
    <w:rsid w:val="00AF2C52"/>
    <w:rsid w:val="00AF7F1A"/>
    <w:rsid w:val="00B040B9"/>
    <w:rsid w:val="00B26F7B"/>
    <w:rsid w:val="00B35E36"/>
    <w:rsid w:val="00B37492"/>
    <w:rsid w:val="00B3762E"/>
    <w:rsid w:val="00B41944"/>
    <w:rsid w:val="00B451AA"/>
    <w:rsid w:val="00B50DCD"/>
    <w:rsid w:val="00B51A6C"/>
    <w:rsid w:val="00B73356"/>
    <w:rsid w:val="00B77B1A"/>
    <w:rsid w:val="00B9049E"/>
    <w:rsid w:val="00B92300"/>
    <w:rsid w:val="00BA0115"/>
    <w:rsid w:val="00BA2929"/>
    <w:rsid w:val="00BA2E37"/>
    <w:rsid w:val="00BA776A"/>
    <w:rsid w:val="00BA7C0E"/>
    <w:rsid w:val="00BB0A7B"/>
    <w:rsid w:val="00BB5F5F"/>
    <w:rsid w:val="00BB7DC2"/>
    <w:rsid w:val="00BC3671"/>
    <w:rsid w:val="00BD2513"/>
    <w:rsid w:val="00BF716F"/>
    <w:rsid w:val="00C07177"/>
    <w:rsid w:val="00C33FAD"/>
    <w:rsid w:val="00C442A4"/>
    <w:rsid w:val="00C51C52"/>
    <w:rsid w:val="00C52102"/>
    <w:rsid w:val="00C6500F"/>
    <w:rsid w:val="00C67166"/>
    <w:rsid w:val="00C72EB1"/>
    <w:rsid w:val="00C77767"/>
    <w:rsid w:val="00C81818"/>
    <w:rsid w:val="00C82F69"/>
    <w:rsid w:val="00C903B7"/>
    <w:rsid w:val="00C920F7"/>
    <w:rsid w:val="00CC1273"/>
    <w:rsid w:val="00CD1D4A"/>
    <w:rsid w:val="00CD404A"/>
    <w:rsid w:val="00CE0B20"/>
    <w:rsid w:val="00CE1930"/>
    <w:rsid w:val="00D10F53"/>
    <w:rsid w:val="00D13C8E"/>
    <w:rsid w:val="00D2711D"/>
    <w:rsid w:val="00D50AA4"/>
    <w:rsid w:val="00D51B86"/>
    <w:rsid w:val="00D65DDC"/>
    <w:rsid w:val="00D66443"/>
    <w:rsid w:val="00D73636"/>
    <w:rsid w:val="00D83487"/>
    <w:rsid w:val="00D96445"/>
    <w:rsid w:val="00DB2D00"/>
    <w:rsid w:val="00DC0FC4"/>
    <w:rsid w:val="00DC4E1A"/>
    <w:rsid w:val="00DE1113"/>
    <w:rsid w:val="00DF3563"/>
    <w:rsid w:val="00DF76E3"/>
    <w:rsid w:val="00E034D8"/>
    <w:rsid w:val="00E102CA"/>
    <w:rsid w:val="00E109D4"/>
    <w:rsid w:val="00E33A22"/>
    <w:rsid w:val="00E371C3"/>
    <w:rsid w:val="00E543D0"/>
    <w:rsid w:val="00E617D6"/>
    <w:rsid w:val="00E73F95"/>
    <w:rsid w:val="00E83A74"/>
    <w:rsid w:val="00E965A5"/>
    <w:rsid w:val="00EA04F5"/>
    <w:rsid w:val="00EA7352"/>
    <w:rsid w:val="00EB02C8"/>
    <w:rsid w:val="00EB0743"/>
    <w:rsid w:val="00ED0B49"/>
    <w:rsid w:val="00ED3B29"/>
    <w:rsid w:val="00EE7ECE"/>
    <w:rsid w:val="00F11933"/>
    <w:rsid w:val="00F17299"/>
    <w:rsid w:val="00F2466B"/>
    <w:rsid w:val="00F35DEC"/>
    <w:rsid w:val="00F627FE"/>
    <w:rsid w:val="00F750A3"/>
    <w:rsid w:val="00F80B90"/>
    <w:rsid w:val="00F8365D"/>
    <w:rsid w:val="00F851A6"/>
    <w:rsid w:val="00F87B47"/>
    <w:rsid w:val="00F91D34"/>
    <w:rsid w:val="00F949C5"/>
    <w:rsid w:val="00FB1A2F"/>
    <w:rsid w:val="00FB362E"/>
    <w:rsid w:val="00FD7F92"/>
    <w:rsid w:val="00FE1B20"/>
    <w:rsid w:val="00FF10CD"/>
    <w:rsid w:val="00FF1307"/>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D610"/>
  <w15:chartTrackingRefBased/>
  <w15:docId w15:val="{8F857CD2-EC07-41FC-BE90-B2345E7F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9B1"/>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AB79B1"/>
    <w:pPr>
      <w:numPr>
        <w:ilvl w:val="2"/>
        <w:numId w:val="4"/>
      </w:numPr>
      <w:spacing w:after="120"/>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uiPriority w:val="99"/>
    <w:semiHidden/>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semiHidden/>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6"/>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174D3E"/>
    <w:pPr>
      <w:numPr>
        <w:numId w:val="8"/>
      </w:numPr>
    </w:pPr>
  </w:style>
  <w:style w:type="paragraph" w:customStyle="1" w:styleId="Sub-clauselevel4">
    <w:name w:val="Sub-clause (level 4)"/>
    <w:basedOn w:val="Sub-clauselevel3"/>
    <w:link w:val="Sub-clauselevel4Char"/>
    <w:qFormat/>
    <w:rsid w:val="00AB79B1"/>
    <w:pPr>
      <w:numPr>
        <w:numId w:val="15"/>
      </w:numPr>
    </w:pPr>
  </w:style>
  <w:style w:type="character" w:customStyle="1" w:styleId="Sub-clauselevel3Char">
    <w:name w:val="Sub-clause (level 3) Char"/>
    <w:basedOn w:val="Sub-BulletChar"/>
    <w:link w:val="Sub-clauselevel3"/>
    <w:rsid w:val="00174D3E"/>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paragraph" w:customStyle="1" w:styleId="Normalnos">
    <w:name w:val="Normal nos."/>
    <w:basedOn w:val="Normal"/>
    <w:link w:val="NormalnosChar"/>
    <w:qFormat/>
    <w:rsid w:val="001C4B62"/>
    <w:pPr>
      <w:numPr>
        <w:ilvl w:val="1"/>
        <w:numId w:val="34"/>
      </w:numPr>
      <w:tabs>
        <w:tab w:val="left" w:pos="1134"/>
      </w:tabs>
    </w:pPr>
  </w:style>
  <w:style w:type="numbering" w:customStyle="1" w:styleId="Numberslevel1">
    <w:name w:val="Numbers ( level 1)"/>
    <w:uiPriority w:val="99"/>
    <w:rsid w:val="00E102CA"/>
    <w:pPr>
      <w:numPr>
        <w:numId w:val="21"/>
      </w:numPr>
    </w:pPr>
  </w:style>
  <w:style w:type="numbering" w:customStyle="1" w:styleId="Number-level1">
    <w:name w:val="Number - level 1"/>
    <w:uiPriority w:val="99"/>
    <w:rsid w:val="00D65DDC"/>
    <w:pPr>
      <w:numPr>
        <w:numId w:val="22"/>
      </w:numPr>
    </w:pPr>
  </w:style>
  <w:style w:type="character" w:customStyle="1" w:styleId="NormalnosChar">
    <w:name w:val="Normal nos. Char"/>
    <w:basedOn w:val="DefaultParagraphFont"/>
    <w:link w:val="Normalnos"/>
    <w:rsid w:val="001C4B62"/>
    <w:rPr>
      <w:rFonts w:ascii="Arial" w:hAnsi="Arial"/>
      <w:color w:val="000000" w:themeColor="text1"/>
      <w:sz w:val="24"/>
    </w:rPr>
  </w:style>
  <w:style w:type="paragraph" w:styleId="Subtitle">
    <w:name w:val="Subtitle"/>
    <w:basedOn w:val="Normal"/>
    <w:next w:val="Normal"/>
    <w:link w:val="SubtitleChar"/>
    <w:uiPriority w:val="11"/>
    <w:qFormat/>
    <w:rsid w:val="00D96445"/>
    <w:pPr>
      <w:numPr>
        <w:ilvl w:val="1"/>
      </w:numPr>
      <w:tabs>
        <w:tab w:val="clear" w:pos="567"/>
        <w:tab w:val="clear" w:pos="1418"/>
        <w:tab w:val="clear" w:pos="1843"/>
      </w:tabs>
      <w:spacing w:after="160" w:line="259" w:lineRule="auto"/>
    </w:pPr>
    <w:rPr>
      <w:rFonts w:ascii="Georgia" w:eastAsiaTheme="minorEastAsia" w:hAnsi="Georgia"/>
      <w:color w:val="5A5A5A" w:themeColor="text1" w:themeTint="A5"/>
      <w:spacing w:val="15"/>
      <w:sz w:val="22"/>
    </w:rPr>
  </w:style>
  <w:style w:type="character" w:customStyle="1" w:styleId="SubtitleChar">
    <w:name w:val="Subtitle Char"/>
    <w:basedOn w:val="DefaultParagraphFont"/>
    <w:link w:val="Subtitle"/>
    <w:uiPriority w:val="11"/>
    <w:rsid w:val="00D96445"/>
    <w:rPr>
      <w:rFonts w:ascii="Georgia" w:eastAsiaTheme="minorEastAsia" w:hAnsi="Georgia"/>
      <w:color w:val="5A5A5A" w:themeColor="text1" w:themeTint="A5"/>
      <w:spacing w:val="15"/>
    </w:rPr>
  </w:style>
  <w:style w:type="paragraph" w:styleId="CommentSubject">
    <w:name w:val="annotation subject"/>
    <w:basedOn w:val="CommentText"/>
    <w:next w:val="CommentText"/>
    <w:link w:val="CommentSubjectChar"/>
    <w:uiPriority w:val="99"/>
    <w:semiHidden/>
    <w:unhideWhenUsed/>
    <w:rsid w:val="00E109D4"/>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E109D4"/>
    <w:rPr>
      <w:rFonts w:ascii="Arial" w:eastAsia="Times New Roman" w:hAnsi="Arial" w:cs="Times New Roman"/>
      <w:b/>
      <w:bCs/>
      <w:color w:val="000000" w:themeColor="text1"/>
      <w:sz w:val="20"/>
      <w:szCs w:val="20"/>
    </w:rPr>
  </w:style>
  <w:style w:type="character" w:styleId="UnresolvedMention">
    <w:name w:val="Unresolved Mention"/>
    <w:basedOn w:val="DefaultParagraphFont"/>
    <w:uiPriority w:val="99"/>
    <w:semiHidden/>
    <w:unhideWhenUsed/>
    <w:rsid w:val="003B6DB7"/>
    <w:rPr>
      <w:color w:val="605E5C"/>
      <w:shd w:val="clear" w:color="auto" w:fill="E1DFDD"/>
    </w:rPr>
  </w:style>
  <w:style w:type="paragraph" w:styleId="Revision">
    <w:name w:val="Revision"/>
    <w:hidden/>
    <w:uiPriority w:val="99"/>
    <w:semiHidden/>
    <w:rsid w:val="0046610F"/>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85574">
      <w:bodyDiv w:val="1"/>
      <w:marLeft w:val="0"/>
      <w:marRight w:val="0"/>
      <w:marTop w:val="0"/>
      <w:marBottom w:val="0"/>
      <w:divBdr>
        <w:top w:val="none" w:sz="0" w:space="0" w:color="auto"/>
        <w:left w:val="none" w:sz="0" w:space="0" w:color="auto"/>
        <w:bottom w:val="none" w:sz="0" w:space="0" w:color="auto"/>
        <w:right w:val="none" w:sz="0" w:space="0" w:color="auto"/>
      </w:divBdr>
      <w:divsChild>
        <w:div w:id="985165028">
          <w:marLeft w:val="0"/>
          <w:marRight w:val="0"/>
          <w:marTop w:val="0"/>
          <w:marBottom w:val="0"/>
          <w:divBdr>
            <w:top w:val="none" w:sz="0" w:space="0" w:color="auto"/>
            <w:left w:val="none" w:sz="0" w:space="0" w:color="auto"/>
            <w:bottom w:val="none" w:sz="0" w:space="0" w:color="auto"/>
            <w:right w:val="none" w:sz="0" w:space="0" w:color="auto"/>
          </w:divBdr>
          <w:divsChild>
            <w:div w:id="446586534">
              <w:marLeft w:val="0"/>
              <w:marRight w:val="0"/>
              <w:marTop w:val="0"/>
              <w:marBottom w:val="0"/>
              <w:divBdr>
                <w:top w:val="none" w:sz="0" w:space="0" w:color="auto"/>
                <w:left w:val="none" w:sz="0" w:space="0" w:color="auto"/>
                <w:bottom w:val="none" w:sz="0" w:space="0" w:color="auto"/>
                <w:right w:val="none" w:sz="0" w:space="0" w:color="auto"/>
              </w:divBdr>
              <w:divsChild>
                <w:div w:id="496727339">
                  <w:marLeft w:val="0"/>
                  <w:marRight w:val="0"/>
                  <w:marTop w:val="0"/>
                  <w:marBottom w:val="0"/>
                  <w:divBdr>
                    <w:top w:val="none" w:sz="0" w:space="0" w:color="auto"/>
                    <w:left w:val="none" w:sz="0" w:space="0" w:color="auto"/>
                    <w:bottom w:val="none" w:sz="0" w:space="0" w:color="auto"/>
                    <w:right w:val="none" w:sz="0" w:space="0" w:color="auto"/>
                  </w:divBdr>
                  <w:divsChild>
                    <w:div w:id="1507667612">
                      <w:marLeft w:val="0"/>
                      <w:marRight w:val="0"/>
                      <w:marTop w:val="0"/>
                      <w:marBottom w:val="0"/>
                      <w:divBdr>
                        <w:top w:val="none" w:sz="0" w:space="0" w:color="auto"/>
                        <w:left w:val="none" w:sz="0" w:space="0" w:color="auto"/>
                        <w:bottom w:val="none" w:sz="0" w:space="0" w:color="auto"/>
                        <w:right w:val="none" w:sz="0" w:space="0" w:color="auto"/>
                      </w:divBdr>
                      <w:divsChild>
                        <w:div w:id="511534817">
                          <w:marLeft w:val="12300"/>
                          <w:marRight w:val="0"/>
                          <w:marTop w:val="0"/>
                          <w:marBottom w:val="0"/>
                          <w:divBdr>
                            <w:top w:val="none" w:sz="0" w:space="0" w:color="auto"/>
                            <w:left w:val="none" w:sz="0" w:space="0" w:color="auto"/>
                            <w:bottom w:val="none" w:sz="0" w:space="0" w:color="auto"/>
                            <w:right w:val="none" w:sz="0" w:space="0" w:color="auto"/>
                          </w:divBdr>
                          <w:divsChild>
                            <w:div w:id="1352224414">
                              <w:marLeft w:val="0"/>
                              <w:marRight w:val="0"/>
                              <w:marTop w:val="0"/>
                              <w:marBottom w:val="405"/>
                              <w:divBdr>
                                <w:top w:val="none" w:sz="0" w:space="0" w:color="auto"/>
                                <w:left w:val="none" w:sz="0" w:space="0" w:color="auto"/>
                                <w:bottom w:val="none" w:sz="0" w:space="0" w:color="auto"/>
                                <w:right w:val="none" w:sz="0" w:space="0" w:color="auto"/>
                              </w:divBdr>
                              <w:divsChild>
                                <w:div w:id="1661076576">
                                  <w:marLeft w:val="0"/>
                                  <w:marRight w:val="0"/>
                                  <w:marTop w:val="0"/>
                                  <w:marBottom w:val="0"/>
                                  <w:divBdr>
                                    <w:top w:val="none" w:sz="0" w:space="0" w:color="auto"/>
                                    <w:left w:val="none" w:sz="0" w:space="0" w:color="auto"/>
                                    <w:bottom w:val="none" w:sz="0" w:space="0" w:color="auto"/>
                                    <w:right w:val="none" w:sz="0" w:space="0" w:color="auto"/>
                                  </w:divBdr>
                                  <w:divsChild>
                                    <w:div w:id="951939896">
                                      <w:marLeft w:val="0"/>
                                      <w:marRight w:val="0"/>
                                      <w:marTop w:val="0"/>
                                      <w:marBottom w:val="0"/>
                                      <w:divBdr>
                                        <w:top w:val="none" w:sz="0" w:space="0" w:color="auto"/>
                                        <w:left w:val="none" w:sz="0" w:space="0" w:color="auto"/>
                                        <w:bottom w:val="none" w:sz="0" w:space="0" w:color="auto"/>
                                        <w:right w:val="none" w:sz="0" w:space="0" w:color="auto"/>
                                      </w:divBdr>
                                      <w:divsChild>
                                        <w:div w:id="1910143980">
                                          <w:marLeft w:val="0"/>
                                          <w:marRight w:val="0"/>
                                          <w:marTop w:val="0"/>
                                          <w:marBottom w:val="0"/>
                                          <w:divBdr>
                                            <w:top w:val="none" w:sz="0" w:space="0" w:color="auto"/>
                                            <w:left w:val="none" w:sz="0" w:space="0" w:color="auto"/>
                                            <w:bottom w:val="none" w:sz="0" w:space="0" w:color="auto"/>
                                            <w:right w:val="none" w:sz="0" w:space="0" w:color="auto"/>
                                          </w:divBdr>
                                          <w:divsChild>
                                            <w:div w:id="1939555409">
                                              <w:marLeft w:val="0"/>
                                              <w:marRight w:val="0"/>
                                              <w:marTop w:val="0"/>
                                              <w:marBottom w:val="0"/>
                                              <w:divBdr>
                                                <w:top w:val="none" w:sz="0" w:space="0" w:color="auto"/>
                                                <w:left w:val="none" w:sz="0" w:space="0" w:color="auto"/>
                                                <w:bottom w:val="none" w:sz="0" w:space="0" w:color="auto"/>
                                                <w:right w:val="none" w:sz="0" w:space="0" w:color="auto"/>
                                              </w:divBdr>
                                              <w:divsChild>
                                                <w:div w:id="65689712">
                                                  <w:marLeft w:val="0"/>
                                                  <w:marRight w:val="0"/>
                                                  <w:marTop w:val="0"/>
                                                  <w:marBottom w:val="0"/>
                                                  <w:divBdr>
                                                    <w:top w:val="none" w:sz="0" w:space="0" w:color="auto"/>
                                                    <w:left w:val="none" w:sz="0" w:space="0" w:color="auto"/>
                                                    <w:bottom w:val="none" w:sz="0" w:space="0" w:color="auto"/>
                                                    <w:right w:val="none" w:sz="0" w:space="0" w:color="auto"/>
                                                  </w:divBdr>
                                                  <w:divsChild>
                                                    <w:div w:id="845752546">
                                                      <w:marLeft w:val="0"/>
                                                      <w:marRight w:val="0"/>
                                                      <w:marTop w:val="0"/>
                                                      <w:marBottom w:val="0"/>
                                                      <w:divBdr>
                                                        <w:top w:val="none" w:sz="0" w:space="0" w:color="auto"/>
                                                        <w:left w:val="none" w:sz="0" w:space="0" w:color="auto"/>
                                                        <w:bottom w:val="none" w:sz="0" w:space="0" w:color="auto"/>
                                                        <w:right w:val="none" w:sz="0" w:space="0" w:color="auto"/>
                                                      </w:divBdr>
                                                      <w:divsChild>
                                                        <w:div w:id="1900675120">
                                                          <w:marLeft w:val="0"/>
                                                          <w:marRight w:val="0"/>
                                                          <w:marTop w:val="0"/>
                                                          <w:marBottom w:val="0"/>
                                                          <w:divBdr>
                                                            <w:top w:val="none" w:sz="0" w:space="0" w:color="auto"/>
                                                            <w:left w:val="none" w:sz="0" w:space="0" w:color="auto"/>
                                                            <w:bottom w:val="none" w:sz="0" w:space="0" w:color="auto"/>
                                                            <w:right w:val="none" w:sz="0" w:space="0" w:color="auto"/>
                                                          </w:divBdr>
                                                          <w:divsChild>
                                                            <w:div w:id="730738681">
                                                              <w:marLeft w:val="0"/>
                                                              <w:marRight w:val="0"/>
                                                              <w:marTop w:val="0"/>
                                                              <w:marBottom w:val="0"/>
                                                              <w:divBdr>
                                                                <w:top w:val="none" w:sz="0" w:space="0" w:color="auto"/>
                                                                <w:left w:val="none" w:sz="0" w:space="0" w:color="auto"/>
                                                                <w:bottom w:val="none" w:sz="0" w:space="0" w:color="auto"/>
                                                                <w:right w:val="none" w:sz="0" w:space="0" w:color="auto"/>
                                                              </w:divBdr>
                                                              <w:divsChild>
                                                                <w:div w:id="268389606">
                                                                  <w:marLeft w:val="0"/>
                                                                  <w:marRight w:val="0"/>
                                                                  <w:marTop w:val="0"/>
                                                                  <w:marBottom w:val="0"/>
                                                                  <w:divBdr>
                                                                    <w:top w:val="none" w:sz="0" w:space="0" w:color="auto"/>
                                                                    <w:left w:val="none" w:sz="0" w:space="0" w:color="auto"/>
                                                                    <w:bottom w:val="none" w:sz="0" w:space="0" w:color="auto"/>
                                                                    <w:right w:val="none" w:sz="0" w:space="0" w:color="auto"/>
                                                                  </w:divBdr>
                                                                  <w:divsChild>
                                                                    <w:div w:id="522943710">
                                                                      <w:marLeft w:val="0"/>
                                                                      <w:marRight w:val="0"/>
                                                                      <w:marTop w:val="0"/>
                                                                      <w:marBottom w:val="0"/>
                                                                      <w:divBdr>
                                                                        <w:top w:val="none" w:sz="0" w:space="0" w:color="auto"/>
                                                                        <w:left w:val="none" w:sz="0" w:space="0" w:color="auto"/>
                                                                        <w:bottom w:val="none" w:sz="0" w:space="0" w:color="auto"/>
                                                                        <w:right w:val="none" w:sz="0" w:space="0" w:color="auto"/>
                                                                      </w:divBdr>
                                                                      <w:divsChild>
                                                                        <w:div w:id="4278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researchproject.org.uk/help/hlpsitespecific.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ihr.ac.uk/documents/model-site-agreements-model-contracts-standard-research-agreements/11612" TargetMode="External"/><Relationship Id="rId17" Type="http://schemas.openxmlformats.org/officeDocument/2006/relationships/hyperlink" Target="mailto:ResearchContracts@innovations.hscni.net" TargetMode="External"/><Relationship Id="rId2" Type="http://schemas.openxmlformats.org/officeDocument/2006/relationships/customXml" Target="../customXml/item2.xml"/><Relationship Id="rId16" Type="http://schemas.openxmlformats.org/officeDocument/2006/relationships/hyperlink" Target="mailto:enquiries@nr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researchproject.org.uk/help/hlpsitespecific.aspx" TargetMode="External"/><Relationship Id="rId5" Type="http://schemas.openxmlformats.org/officeDocument/2006/relationships/numbering" Target="numbering.xml"/><Relationship Id="rId15" Type="http://schemas.openxmlformats.org/officeDocument/2006/relationships/hyperlink" Target="mailto:research-contracts@wales.nhs.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ta@hra.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10E62033B1064C9902CB85CD7CF29D" ma:contentTypeVersion="13" ma:contentTypeDescription="Create a new document." ma:contentTypeScope="" ma:versionID="a3fc36dc83f155ebbdb51efb004a6871">
  <xsd:schema xmlns:xsd="http://www.w3.org/2001/XMLSchema" xmlns:xs="http://www.w3.org/2001/XMLSchema" xmlns:p="http://schemas.microsoft.com/office/2006/metadata/properties" xmlns:ns2="172b1ebe-f4b4-4bb2-8fed-f263d49f0158" xmlns:ns3="d04dd14f-b236-4469-804d-b861c8565904" targetNamespace="http://schemas.microsoft.com/office/2006/metadata/properties" ma:root="true" ma:fieldsID="d3a7b0179f398f98810d476759fddad9" ns2:_="" ns3:_="">
    <xsd:import namespace="172b1ebe-f4b4-4bb2-8fed-f263d49f0158"/>
    <xsd:import namespace="d04dd14f-b236-4469-804d-b861c85659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b1ebe-f4b4-4bb2-8fed-f263d49f0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4dd14f-b236-4469-804d-b861c85659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80472-93A3-49BA-9117-5D3BCB335E4D}">
  <ds:schemaRefs>
    <ds:schemaRef ds:uri="http://schemas.microsoft.com/sharepoint/v3/contenttype/forms"/>
  </ds:schemaRefs>
</ds:datastoreItem>
</file>

<file path=customXml/itemProps2.xml><?xml version="1.0" encoding="utf-8"?>
<ds:datastoreItem xmlns:ds="http://schemas.openxmlformats.org/officeDocument/2006/customXml" ds:itemID="{3D669C00-3383-44FF-B82E-2BCC728B14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51CEDF-5F30-4E29-927A-4EFD30D6A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b1ebe-f4b4-4bb2-8fed-f263d49f0158"/>
    <ds:schemaRef ds:uri="d04dd14f-b236-4469-804d-b861c8565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74E7EB-CA14-4297-9069-68CD5F48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6569</Words>
  <Characters>37445</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43927</CharactersWithSpaces>
  <SharedDoc>false</SharedDoc>
  <HLinks>
    <vt:vector size="54" baseType="variant">
      <vt:variant>
        <vt:i4>7274497</vt:i4>
      </vt:variant>
      <vt:variant>
        <vt:i4>24</vt:i4>
      </vt:variant>
      <vt:variant>
        <vt:i4>0</vt:i4>
      </vt:variant>
      <vt:variant>
        <vt:i4>5</vt:i4>
      </vt:variant>
      <vt:variant>
        <vt:lpwstr>mailto:ResearchContracts@innovations.hscni.net</vt:lpwstr>
      </vt:variant>
      <vt:variant>
        <vt:lpwstr/>
      </vt:variant>
      <vt:variant>
        <vt:i4>6619142</vt:i4>
      </vt:variant>
      <vt:variant>
        <vt:i4>21</vt:i4>
      </vt:variant>
      <vt:variant>
        <vt:i4>0</vt:i4>
      </vt:variant>
      <vt:variant>
        <vt:i4>5</vt:i4>
      </vt:variant>
      <vt:variant>
        <vt:lpwstr>mailto:enquiries@nrs.org.uk</vt:lpwstr>
      </vt:variant>
      <vt:variant>
        <vt:lpwstr/>
      </vt:variant>
      <vt:variant>
        <vt:i4>327743</vt:i4>
      </vt:variant>
      <vt:variant>
        <vt:i4>18</vt:i4>
      </vt:variant>
      <vt:variant>
        <vt:i4>0</vt:i4>
      </vt:variant>
      <vt:variant>
        <vt:i4>5</vt:i4>
      </vt:variant>
      <vt:variant>
        <vt:lpwstr>mailto:research-contracts@wales.nhs.uk</vt:lpwstr>
      </vt:variant>
      <vt:variant>
        <vt:lpwstr/>
      </vt:variant>
      <vt:variant>
        <vt:i4>4849705</vt:i4>
      </vt:variant>
      <vt:variant>
        <vt:i4>15</vt:i4>
      </vt:variant>
      <vt:variant>
        <vt:i4>0</vt:i4>
      </vt:variant>
      <vt:variant>
        <vt:i4>5</vt:i4>
      </vt:variant>
      <vt:variant>
        <vt:lpwstr>mailto:mcta@hra.nhs.uk</vt:lpwstr>
      </vt:variant>
      <vt:variant>
        <vt:lpwstr/>
      </vt:variant>
      <vt:variant>
        <vt:i4>7995497</vt:i4>
      </vt:variant>
      <vt:variant>
        <vt:i4>12</vt:i4>
      </vt:variant>
      <vt:variant>
        <vt:i4>0</vt:i4>
      </vt:variant>
      <vt:variant>
        <vt:i4>5</vt:i4>
      </vt:variant>
      <vt:variant>
        <vt:lpwstr>https://www.myresearchproject.org.uk/help/hlpsitespecific.aspx</vt:lpwstr>
      </vt:variant>
      <vt:variant>
        <vt:lpwstr>UK-Local-Information-Pack-Delegation-Log</vt:lpwstr>
      </vt:variant>
      <vt:variant>
        <vt:i4>3735653</vt:i4>
      </vt:variant>
      <vt:variant>
        <vt:i4>9</vt:i4>
      </vt:variant>
      <vt:variant>
        <vt:i4>0</vt:i4>
      </vt:variant>
      <vt:variant>
        <vt:i4>5</vt:i4>
      </vt:variant>
      <vt:variant>
        <vt:lpwstr>https://www.myresearchproject.org.uk/help/hlptemplatesfor.aspx</vt:lpwstr>
      </vt:variant>
      <vt:variant>
        <vt:lpwstr>mNCA</vt:lpwstr>
      </vt:variant>
      <vt:variant>
        <vt:i4>4980820</vt:i4>
      </vt:variant>
      <vt:variant>
        <vt:i4>6</vt:i4>
      </vt:variant>
      <vt:variant>
        <vt:i4>0</vt:i4>
      </vt:variant>
      <vt:variant>
        <vt:i4>5</vt:i4>
      </vt:variant>
      <vt:variant>
        <vt:lpwstr>https://www.nihr.ac.uk/documents/model-site-agreements-model-contracts-standard-research-agreements/11612</vt:lpwstr>
      </vt:variant>
      <vt:variant>
        <vt:lpwstr/>
      </vt:variant>
      <vt:variant>
        <vt:i4>8257584</vt:i4>
      </vt:variant>
      <vt:variant>
        <vt:i4>3</vt:i4>
      </vt:variant>
      <vt:variant>
        <vt:i4>0</vt:i4>
      </vt:variant>
      <vt:variant>
        <vt:i4>5</vt:i4>
      </vt:variant>
      <vt:variant>
        <vt:lpwstr>https://www.myresearchproject.org.uk/help/hlpsitespecific.aspx</vt:lpwstr>
      </vt:variant>
      <vt:variant>
        <vt:lpwstr>UK-Local-Information-Pack-OID</vt:lpwstr>
      </vt:variant>
      <vt:variant>
        <vt:i4>3735653</vt:i4>
      </vt:variant>
      <vt:variant>
        <vt:i4>0</vt:i4>
      </vt:variant>
      <vt:variant>
        <vt:i4>0</vt:i4>
      </vt:variant>
      <vt:variant>
        <vt:i4>5</vt:i4>
      </vt:variant>
      <vt:variant>
        <vt:lpwstr>https://www.myresearchproject.org.uk/help/hlptemplatesfor.aspx</vt:lpwstr>
      </vt:variant>
      <vt:variant>
        <vt:lpwstr>mNCA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Daniel Baston</cp:lastModifiedBy>
  <cp:revision>6</cp:revision>
  <cp:lastPrinted>2020-03-26T20:44:00Z</cp:lastPrinted>
  <dcterms:created xsi:type="dcterms:W3CDTF">2022-03-11T18:00:00Z</dcterms:created>
  <dcterms:modified xsi:type="dcterms:W3CDTF">2022-07-04T22:45:00Z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0x0101003C10E62033B1064C9902CB85CD7CF29D</vt:lpwstr>
  </property>
</Properties>
</file>