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F9" w:rsidRPr="00690DF9" w:rsidRDefault="00690DF9" w:rsidP="00690DF9">
      <w:pPr>
        <w:spacing w:after="0" w:line="240" w:lineRule="auto"/>
        <w:jc w:val="center"/>
        <w:rPr>
          <w:b/>
        </w:rPr>
      </w:pPr>
      <w:r w:rsidRPr="00690DF9">
        <w:rPr>
          <w:b/>
        </w:rPr>
        <w:t>The Christie NHS Foundation Trust Cellular Therapy and Transplant Programme</w:t>
      </w:r>
    </w:p>
    <w:p w:rsidR="00690DF9" w:rsidRDefault="00690DF9" w:rsidP="00690DF9">
      <w:pPr>
        <w:spacing w:after="0" w:line="240" w:lineRule="auto"/>
      </w:pPr>
    </w:p>
    <w:p w:rsidR="002D44B5" w:rsidRDefault="00690DF9" w:rsidP="00A40316">
      <w:pPr>
        <w:spacing w:after="0" w:line="240" w:lineRule="auto"/>
      </w:pPr>
      <w:r>
        <w:t>The cellular therapy and transplant programme</w:t>
      </w:r>
      <w:r w:rsidR="005C1AD5">
        <w:t xml:space="preserve"> at the Christie</w:t>
      </w:r>
      <w:r>
        <w:t xml:space="preserve"> was first </w:t>
      </w:r>
      <w:r w:rsidR="004E3E33">
        <w:t xml:space="preserve">JACIE </w:t>
      </w:r>
      <w:r>
        <w:t>accredited in 2009 and has since bee</w:t>
      </w:r>
      <w:r w:rsidR="00C611EB">
        <w:t>n re-accredited in 2013 and 2015</w:t>
      </w:r>
      <w:r>
        <w:t xml:space="preserve">.  </w:t>
      </w:r>
      <w:r w:rsidR="008D39E1">
        <w:t xml:space="preserve">In 2018 the Christie led a Manchester health consortium known as </w:t>
      </w:r>
      <w:proofErr w:type="spellStart"/>
      <w:r w:rsidR="008D39E1">
        <w:t>iMATCH</w:t>
      </w:r>
      <w:proofErr w:type="spellEnd"/>
      <w:r w:rsidR="008D39E1">
        <w:t xml:space="preserve"> to gain funding from Innovate UK to scale up advanced therapies and make them as routine to deliver as non advanced therapies.</w:t>
      </w:r>
      <w:r w:rsidR="004E3E33">
        <w:t xml:space="preserve"> </w:t>
      </w:r>
      <w:r w:rsidR="002D44B5">
        <w:t>In October 2018 the cellular therapy and transplant programme was accredited to version 6.01 of the JACIE standards and was selected as a first wave UK centre for CAR-T therapies.</w:t>
      </w:r>
    </w:p>
    <w:p w:rsidR="002D44B5" w:rsidRDefault="002D44B5" w:rsidP="00A40316">
      <w:pPr>
        <w:spacing w:after="0" w:line="240" w:lineRule="auto"/>
      </w:pPr>
    </w:p>
    <w:p w:rsidR="00A40316" w:rsidRDefault="00A40316" w:rsidP="00A40316">
      <w:pPr>
        <w:spacing w:after="0" w:line="240" w:lineRule="auto"/>
      </w:pPr>
      <w:r>
        <w:t xml:space="preserve">As part of the </w:t>
      </w:r>
      <w:proofErr w:type="spellStart"/>
      <w:r>
        <w:t>iMATCH</w:t>
      </w:r>
      <w:proofErr w:type="spellEnd"/>
      <w:r>
        <w:t xml:space="preserve"> project and the scale up of advanced therapy activities at the Christie hospital the cellular therapy and transplant programme are to include the NIHR Manchester Clinical Research Facility at the Christie</w:t>
      </w:r>
      <w:r w:rsidR="00A05F6D">
        <w:t xml:space="preserve"> (CRF)</w:t>
      </w:r>
      <w:r>
        <w:t xml:space="preserve"> as a clinical facility </w:t>
      </w:r>
      <w:r w:rsidR="00A05F6D">
        <w:t>for the next JACIE accreditation</w:t>
      </w:r>
      <w:r w:rsidR="00871C08">
        <w:t xml:space="preserve"> inspection</w:t>
      </w:r>
      <w:r w:rsidR="005C1AD5">
        <w:t xml:space="preserve"> due in 2020. Specifically this will only be for advanced therapies conducted at the CRF.</w:t>
      </w:r>
    </w:p>
    <w:p w:rsidR="002D44B5" w:rsidRDefault="002D44B5" w:rsidP="00A40316">
      <w:pPr>
        <w:spacing w:after="0" w:line="240" w:lineRule="auto"/>
      </w:pPr>
    </w:p>
    <w:p w:rsidR="00A05F6D" w:rsidRDefault="00A05F6D" w:rsidP="00690DF9">
      <w:pPr>
        <w:spacing w:after="0" w:line="240" w:lineRule="auto"/>
      </w:pPr>
      <w:r>
        <w:t xml:space="preserve">Throughout </w:t>
      </w:r>
      <w:r w:rsidR="004E3E33">
        <w:t xml:space="preserve">2018 and </w:t>
      </w:r>
      <w:r>
        <w:t xml:space="preserve">2019 the preparation for the JACIE </w:t>
      </w:r>
      <w:r w:rsidR="00206E75">
        <w:t>re-</w:t>
      </w:r>
      <w:r>
        <w:t xml:space="preserve">accreditation was undertaken and through the </w:t>
      </w:r>
      <w:proofErr w:type="spellStart"/>
      <w:r>
        <w:t>iMATCH</w:t>
      </w:r>
      <w:proofErr w:type="spellEnd"/>
      <w:r>
        <w:t xml:space="preserve"> funding new roles were appointed to help the process</w:t>
      </w:r>
      <w:r w:rsidR="00871C08">
        <w:t xml:space="preserve"> of including the CRF</w:t>
      </w:r>
      <w:r>
        <w:t>. The roles included:</w:t>
      </w:r>
    </w:p>
    <w:p w:rsidR="00A05F6D" w:rsidRDefault="00A05F6D" w:rsidP="00A05F6D">
      <w:pPr>
        <w:numPr>
          <w:ilvl w:val="0"/>
          <w:numId w:val="1"/>
        </w:numPr>
        <w:spacing w:after="0" w:line="240" w:lineRule="auto"/>
      </w:pPr>
      <w:r>
        <w:t>Clinical Research Nurses - to increase the CRF’s staffing establishment to help cover the increase in inpatient stays due to advanced therapies.</w:t>
      </w:r>
    </w:p>
    <w:p w:rsidR="00A05F6D" w:rsidRDefault="00A05F6D" w:rsidP="00A05F6D">
      <w:pPr>
        <w:numPr>
          <w:ilvl w:val="0"/>
          <w:numId w:val="1"/>
        </w:numPr>
        <w:spacing w:after="0" w:line="240" w:lineRule="auto"/>
      </w:pPr>
      <w:r>
        <w:t>Clinical Practice Facilitator - to create and deliver a comprehensive educational programme in line with the JACIE standards for the delivery of advanced therapies.</w:t>
      </w:r>
    </w:p>
    <w:p w:rsidR="00A05F6D" w:rsidRDefault="00A05F6D" w:rsidP="00A05F6D">
      <w:pPr>
        <w:numPr>
          <w:ilvl w:val="0"/>
          <w:numId w:val="1"/>
        </w:numPr>
        <w:spacing w:after="0" w:line="240" w:lineRule="auto"/>
      </w:pPr>
      <w:r>
        <w:t>Quality Manager - to assess and facilitate compliance of the CRF against the JACIE clinical standards.</w:t>
      </w:r>
    </w:p>
    <w:p w:rsidR="00A05F6D" w:rsidRDefault="00A05F6D" w:rsidP="00A05F6D">
      <w:pPr>
        <w:spacing w:after="0" w:line="240" w:lineRule="auto"/>
      </w:pPr>
    </w:p>
    <w:p w:rsidR="00545046" w:rsidRDefault="00A05F6D" w:rsidP="00FD2A51">
      <w:pPr>
        <w:spacing w:after="0" w:line="240" w:lineRule="auto"/>
      </w:pPr>
      <w:r>
        <w:t>The process included a rigorous gap analysis of the JACIE clinical standards and working practice in the CRF</w:t>
      </w:r>
      <w:r w:rsidR="009F6859">
        <w:t>.</w:t>
      </w:r>
      <w:r>
        <w:t xml:space="preserve"> </w:t>
      </w:r>
      <w:r w:rsidR="004E3E33">
        <w:t xml:space="preserve">This involved creating processes and work streams to integrate advanced therapies conducted on the CRF into the cellular therapy and transplant programme to comply with the JACIE standards. </w:t>
      </w:r>
    </w:p>
    <w:p w:rsidR="00E46CC9" w:rsidRDefault="00E46CC9" w:rsidP="00E46CC9">
      <w:pPr>
        <w:spacing w:after="0" w:line="240" w:lineRule="auto"/>
      </w:pPr>
    </w:p>
    <w:p w:rsidR="00E46CC9" w:rsidRDefault="00C53147" w:rsidP="00E46CC9">
      <w:pPr>
        <w:spacing w:after="0" w:line="240" w:lineRule="auto"/>
      </w:pPr>
      <w:r>
        <w:t xml:space="preserve">The cellular therapy and transplant programme modified existing and created </w:t>
      </w:r>
      <w:r w:rsidR="002D44B5">
        <w:t xml:space="preserve">a number of documents in order to deliver advanced therapies and comply </w:t>
      </w:r>
      <w:r>
        <w:t>with JACIE’s immune effector cell standards (edi</w:t>
      </w:r>
      <w:r w:rsidR="002D44B5">
        <w:t>tion 6.01)</w:t>
      </w:r>
      <w:r w:rsidR="00FD2A51">
        <w:t xml:space="preserve">. The </w:t>
      </w:r>
      <w:r w:rsidR="00732E53">
        <w:t>list of new/modified documents is below:</w:t>
      </w:r>
    </w:p>
    <w:p w:rsidR="00E02028" w:rsidRDefault="00E02028" w:rsidP="00E02028">
      <w:pPr>
        <w:spacing w:after="0" w:line="240" w:lineRule="auto"/>
      </w:pPr>
    </w:p>
    <w:p w:rsidR="00C53147" w:rsidRDefault="00C53147" w:rsidP="00E46CC9">
      <w:pPr>
        <w:spacing w:after="0" w:line="240" w:lineRule="auto"/>
      </w:pPr>
      <w:r>
        <w:t>Collection</w:t>
      </w:r>
      <w:r w:rsidR="00E02028">
        <w:t xml:space="preserve"> facility</w:t>
      </w:r>
    </w:p>
    <w:p w:rsidR="00A55085" w:rsidRDefault="00A55085" w:rsidP="00E02028">
      <w:pPr>
        <w:numPr>
          <w:ilvl w:val="0"/>
          <w:numId w:val="5"/>
        </w:numPr>
        <w:spacing w:after="0" w:line="240" w:lineRule="auto"/>
      </w:pPr>
      <w:r>
        <w:t>Assessment and eligibility of patients undergoing HPC collection</w:t>
      </w:r>
    </w:p>
    <w:p w:rsidR="00A55085" w:rsidRDefault="00A55085" w:rsidP="006C1D13">
      <w:pPr>
        <w:pStyle w:val="ListParagraph"/>
        <w:numPr>
          <w:ilvl w:val="0"/>
          <w:numId w:val="5"/>
        </w:numPr>
        <w:spacing w:after="0" w:line="240" w:lineRule="auto"/>
      </w:pPr>
      <w:r>
        <w:t>CAR-T Washout Letter</w:t>
      </w:r>
    </w:p>
    <w:p w:rsidR="00A55085" w:rsidRDefault="00A55085" w:rsidP="006C1D13">
      <w:pPr>
        <w:pStyle w:val="ListParagraph"/>
        <w:numPr>
          <w:ilvl w:val="0"/>
          <w:numId w:val="5"/>
        </w:numPr>
        <w:spacing w:after="0" w:line="240" w:lineRule="auto"/>
      </w:pPr>
      <w:r>
        <w:t>CAR-T work up checklist</w:t>
      </w:r>
    </w:p>
    <w:p w:rsidR="00A55085" w:rsidRDefault="00A55085" w:rsidP="00C8057A">
      <w:pPr>
        <w:numPr>
          <w:ilvl w:val="0"/>
          <w:numId w:val="5"/>
        </w:numPr>
        <w:spacing w:after="0" w:line="240" w:lineRule="auto"/>
      </w:pPr>
      <w:r>
        <w:t>Clinical apheresis unit structure and referrals</w:t>
      </w:r>
    </w:p>
    <w:p w:rsidR="00A55085" w:rsidRDefault="00A55085" w:rsidP="00A55085">
      <w:pPr>
        <w:pStyle w:val="ListParagraph"/>
        <w:numPr>
          <w:ilvl w:val="0"/>
          <w:numId w:val="5"/>
        </w:numPr>
        <w:spacing w:after="0" w:line="240" w:lineRule="auto"/>
      </w:pPr>
      <w:r>
        <w:t>Coordinating a Chimeric Antigen Receptor T-Cell (CAR-T) therapy (including TCR)</w:t>
      </w:r>
    </w:p>
    <w:p w:rsidR="00A55085" w:rsidRDefault="00A55085" w:rsidP="00A55085">
      <w:pPr>
        <w:pStyle w:val="ListParagraph"/>
        <w:numPr>
          <w:ilvl w:val="0"/>
          <w:numId w:val="5"/>
        </w:numPr>
        <w:spacing w:after="0" w:line="240" w:lineRule="auto"/>
      </w:pPr>
      <w:r>
        <w:t>Labelling of cellular apheresis and bone marrow products</w:t>
      </w:r>
    </w:p>
    <w:p w:rsidR="00A55085" w:rsidRDefault="00A55085" w:rsidP="00E02028">
      <w:pPr>
        <w:numPr>
          <w:ilvl w:val="0"/>
          <w:numId w:val="5"/>
        </w:numPr>
        <w:spacing w:after="0" w:line="240" w:lineRule="auto"/>
      </w:pPr>
      <w:r>
        <w:t>Medical assessment form for patients</w:t>
      </w:r>
    </w:p>
    <w:p w:rsidR="00A55085" w:rsidRDefault="00A55085" w:rsidP="00E02028">
      <w:pPr>
        <w:numPr>
          <w:ilvl w:val="0"/>
          <w:numId w:val="5"/>
        </w:numPr>
        <w:spacing w:after="0" w:line="240" w:lineRule="auto"/>
      </w:pPr>
      <w:r>
        <w:t>Optia MNC Procedure for HPC and T-Cell Collection</w:t>
      </w:r>
    </w:p>
    <w:p w:rsidR="00C53147" w:rsidRDefault="00C53147" w:rsidP="00E46CC9">
      <w:pPr>
        <w:spacing w:after="0" w:line="240" w:lineRule="auto"/>
      </w:pPr>
    </w:p>
    <w:p w:rsidR="00C53147" w:rsidRDefault="00C53147" w:rsidP="00E46CC9">
      <w:pPr>
        <w:spacing w:after="0" w:line="240" w:lineRule="auto"/>
      </w:pPr>
      <w:r>
        <w:t>Clinical</w:t>
      </w:r>
      <w:r w:rsidR="00E02028">
        <w:t xml:space="preserve"> facility</w:t>
      </w:r>
    </w:p>
    <w:p w:rsidR="00A55085" w:rsidRDefault="00A55085" w:rsidP="00E02028">
      <w:pPr>
        <w:numPr>
          <w:ilvl w:val="0"/>
          <w:numId w:val="6"/>
        </w:numPr>
        <w:spacing w:after="0" w:line="240" w:lineRule="auto"/>
      </w:pPr>
      <w:r>
        <w:t>Business Continuity Plan Outpatients</w:t>
      </w:r>
    </w:p>
    <w:p w:rsidR="00A55085" w:rsidRDefault="00A55085" w:rsidP="00E02028">
      <w:pPr>
        <w:numPr>
          <w:ilvl w:val="0"/>
          <w:numId w:val="6"/>
        </w:numPr>
        <w:spacing w:after="0" w:line="240" w:lineRule="auto"/>
      </w:pPr>
      <w:r>
        <w:t>Business Continuity Plan Ward</w:t>
      </w:r>
    </w:p>
    <w:p w:rsidR="00A55085" w:rsidRDefault="00A55085" w:rsidP="00E02028">
      <w:pPr>
        <w:numPr>
          <w:ilvl w:val="0"/>
          <w:numId w:val="6"/>
        </w:numPr>
        <w:spacing w:after="0" w:line="240" w:lineRule="auto"/>
      </w:pPr>
      <w:r>
        <w:t>Cardiovascular Disease Following Stem Cell Transplantation and Cellular Therapy</w:t>
      </w:r>
    </w:p>
    <w:p w:rsidR="00A55085" w:rsidRDefault="00A55085" w:rsidP="006C1D13">
      <w:pPr>
        <w:pStyle w:val="ListParagraph"/>
        <w:numPr>
          <w:ilvl w:val="0"/>
          <w:numId w:val="6"/>
        </w:numPr>
        <w:spacing w:after="0" w:line="240" w:lineRule="auto"/>
      </w:pPr>
      <w:r>
        <w:t>CAR-T discharge checklist</w:t>
      </w:r>
    </w:p>
    <w:p w:rsidR="00C611EB" w:rsidRDefault="00C611EB" w:rsidP="006C1D13">
      <w:pPr>
        <w:pStyle w:val="ListParagraph"/>
        <w:numPr>
          <w:ilvl w:val="0"/>
          <w:numId w:val="6"/>
        </w:numPr>
        <w:spacing w:after="0" w:line="240" w:lineRule="auto"/>
      </w:pPr>
      <w:r>
        <w:t>Chimeric Antigen Receptor T-cell Therapy discharge and follow up</w:t>
      </w:r>
      <w:bookmarkStart w:id="0" w:name="_GoBack"/>
      <w:bookmarkEnd w:id="0"/>
    </w:p>
    <w:p w:rsidR="00A55085" w:rsidRDefault="00A55085" w:rsidP="00E02028">
      <w:pPr>
        <w:numPr>
          <w:ilvl w:val="0"/>
          <w:numId w:val="6"/>
        </w:numPr>
        <w:spacing w:after="0" w:line="240" w:lineRule="auto"/>
      </w:pPr>
      <w:r>
        <w:t xml:space="preserve">CCU Admissions and Discharge Policy </w:t>
      </w:r>
    </w:p>
    <w:p w:rsidR="00A55085" w:rsidRDefault="00A55085" w:rsidP="00E02028">
      <w:pPr>
        <w:numPr>
          <w:ilvl w:val="0"/>
          <w:numId w:val="6"/>
        </w:numPr>
        <w:spacing w:after="0" w:line="240" w:lineRule="auto"/>
      </w:pPr>
      <w:r>
        <w:t>Data management and completion of med A/B forms</w:t>
      </w:r>
    </w:p>
    <w:p w:rsidR="00A55085" w:rsidRDefault="00A55085" w:rsidP="00E02028">
      <w:pPr>
        <w:numPr>
          <w:ilvl w:val="0"/>
          <w:numId w:val="6"/>
        </w:numPr>
        <w:spacing w:after="0" w:line="240" w:lineRule="auto"/>
      </w:pPr>
      <w:r>
        <w:t>Guidelines for the Management of Cytokine Release Syndrome Associated with Cancer Immunotherapies</w:t>
      </w:r>
    </w:p>
    <w:p w:rsidR="00A55085" w:rsidRDefault="00A55085" w:rsidP="00E02028">
      <w:pPr>
        <w:numPr>
          <w:ilvl w:val="0"/>
          <w:numId w:val="6"/>
        </w:numPr>
        <w:spacing w:after="0" w:line="240" w:lineRule="auto"/>
      </w:pPr>
      <w:r>
        <w:lastRenderedPageBreak/>
        <w:t>Guidelines for the Management of Sepsis</w:t>
      </w:r>
    </w:p>
    <w:p w:rsidR="00A55085" w:rsidRDefault="00A55085" w:rsidP="00E02028">
      <w:pPr>
        <w:numPr>
          <w:ilvl w:val="0"/>
          <w:numId w:val="6"/>
        </w:numPr>
        <w:spacing w:after="0" w:line="240" w:lineRule="auto"/>
      </w:pPr>
      <w:r>
        <w:t>Hepatic Veno-Occlusive Disease (Sinusoidal Obstruction Syndrome) and Liver Dysfunction</w:t>
      </w:r>
    </w:p>
    <w:p w:rsidR="00A55085" w:rsidRDefault="00A55085" w:rsidP="00E02028">
      <w:pPr>
        <w:numPr>
          <w:ilvl w:val="0"/>
          <w:numId w:val="6"/>
        </w:numPr>
        <w:spacing w:after="0" w:line="240" w:lineRule="auto"/>
      </w:pPr>
      <w:r>
        <w:t>HLH and Macrophage Activation Syndrome</w:t>
      </w:r>
    </w:p>
    <w:p w:rsidR="00A55085" w:rsidRDefault="00A55085" w:rsidP="00E02028">
      <w:pPr>
        <w:numPr>
          <w:ilvl w:val="0"/>
          <w:numId w:val="6"/>
        </w:numPr>
        <w:spacing w:after="0" w:line="240" w:lineRule="auto"/>
      </w:pPr>
      <w:r>
        <w:t>Infusion of Cellular Products</w:t>
      </w:r>
    </w:p>
    <w:p w:rsidR="00A55085" w:rsidRDefault="00A55085" w:rsidP="00E02028">
      <w:pPr>
        <w:numPr>
          <w:ilvl w:val="0"/>
          <w:numId w:val="6"/>
        </w:numPr>
        <w:spacing w:after="0" w:line="240" w:lineRule="auto"/>
      </w:pPr>
      <w:r>
        <w:t>Inpatient Management of Patients Receiving Immune Effector Cells (Including CAR-T Cells)</w:t>
      </w:r>
    </w:p>
    <w:p w:rsidR="00A55085" w:rsidRDefault="00A55085" w:rsidP="00E02028">
      <w:pPr>
        <w:numPr>
          <w:ilvl w:val="0"/>
          <w:numId w:val="6"/>
        </w:numPr>
        <w:spacing w:after="0" w:line="240" w:lineRule="auto"/>
      </w:pPr>
      <w:r>
        <w:t>Management of Anaphylaxis</w:t>
      </w:r>
    </w:p>
    <w:p w:rsidR="00A55085" w:rsidRDefault="00A55085" w:rsidP="00E02028">
      <w:pPr>
        <w:numPr>
          <w:ilvl w:val="0"/>
          <w:numId w:val="6"/>
        </w:numPr>
        <w:spacing w:after="0" w:line="240" w:lineRule="auto"/>
      </w:pPr>
      <w:r>
        <w:t>Neurological Disease in Stem Cell Transplantation and Cellular Therapy</w:t>
      </w:r>
    </w:p>
    <w:p w:rsidR="00A55085" w:rsidRDefault="00A55085" w:rsidP="00E02028">
      <w:pPr>
        <w:numPr>
          <w:ilvl w:val="0"/>
          <w:numId w:val="6"/>
        </w:numPr>
        <w:spacing w:after="0" w:line="240" w:lineRule="auto"/>
      </w:pPr>
      <w:r>
        <w:t>Nurse and AHP Training</w:t>
      </w:r>
    </w:p>
    <w:p w:rsidR="00A55085" w:rsidRDefault="00A55085" w:rsidP="00E02028">
      <w:pPr>
        <w:numPr>
          <w:ilvl w:val="0"/>
          <w:numId w:val="6"/>
        </w:numPr>
        <w:spacing w:after="0" w:line="240" w:lineRule="auto"/>
      </w:pPr>
      <w:r>
        <w:t>Nursing observations for all haematology and cellular therapy patients</w:t>
      </w:r>
    </w:p>
    <w:p w:rsidR="00A55085" w:rsidRDefault="00A55085" w:rsidP="00E02028">
      <w:pPr>
        <w:numPr>
          <w:ilvl w:val="0"/>
          <w:numId w:val="6"/>
        </w:numPr>
        <w:spacing w:after="0" w:line="240" w:lineRule="auto"/>
      </w:pPr>
      <w:r>
        <w:t>Pathway for Patients with Suspected Sepsis – To Achieve One Hour to Antibiotics Administration</w:t>
      </w:r>
    </w:p>
    <w:p w:rsidR="00A55085" w:rsidRDefault="00A55085" w:rsidP="00E02028">
      <w:pPr>
        <w:numPr>
          <w:ilvl w:val="0"/>
          <w:numId w:val="6"/>
        </w:numPr>
        <w:spacing w:after="0" w:line="240" w:lineRule="auto"/>
      </w:pPr>
      <w:r>
        <w:t xml:space="preserve">Renal Disease Following Stem Cell Transplantation and Cellular Therapy Including Thrombotic </w:t>
      </w:r>
      <w:proofErr w:type="spellStart"/>
      <w:r>
        <w:t>Microangiopathy</w:t>
      </w:r>
      <w:proofErr w:type="spellEnd"/>
      <w:r>
        <w:t xml:space="preserve"> (TMA)</w:t>
      </w:r>
    </w:p>
    <w:p w:rsidR="00A55085" w:rsidRDefault="00A55085" w:rsidP="00E02028">
      <w:pPr>
        <w:numPr>
          <w:ilvl w:val="0"/>
          <w:numId w:val="6"/>
        </w:numPr>
        <w:spacing w:after="0" w:line="240" w:lineRule="auto"/>
      </w:pPr>
      <w:r>
        <w:t>Respiratory Disease Following Stem Cell Transplantation and Cellular Therapy</w:t>
      </w:r>
    </w:p>
    <w:p w:rsidR="00A55085" w:rsidRDefault="00A55085" w:rsidP="00E02028">
      <w:pPr>
        <w:numPr>
          <w:ilvl w:val="0"/>
          <w:numId w:val="6"/>
        </w:numPr>
        <w:spacing w:after="0" w:line="240" w:lineRule="auto"/>
      </w:pPr>
      <w:r>
        <w:t>SOP for the Transfer of Critically Ill Adults</w:t>
      </w:r>
    </w:p>
    <w:p w:rsidR="00A55085" w:rsidRDefault="00A55085" w:rsidP="00E02028">
      <w:pPr>
        <w:numPr>
          <w:ilvl w:val="0"/>
          <w:numId w:val="6"/>
        </w:numPr>
        <w:spacing w:after="0" w:line="240" w:lineRule="auto"/>
      </w:pPr>
      <w:r>
        <w:t>Stem Cell Infusion Checklist for Nurses</w:t>
      </w:r>
    </w:p>
    <w:p w:rsidR="00A55085" w:rsidRDefault="00A55085" w:rsidP="00E02028">
      <w:pPr>
        <w:numPr>
          <w:ilvl w:val="0"/>
          <w:numId w:val="6"/>
        </w:numPr>
        <w:spacing w:after="0" w:line="240" w:lineRule="auto"/>
      </w:pPr>
      <w:r>
        <w:t>Thrombocytopenia, Bleeding and DIC</w:t>
      </w:r>
    </w:p>
    <w:p w:rsidR="00A55085" w:rsidRDefault="00A55085" w:rsidP="00E02028">
      <w:pPr>
        <w:numPr>
          <w:ilvl w:val="0"/>
          <w:numId w:val="6"/>
        </w:numPr>
        <w:spacing w:after="0" w:line="240" w:lineRule="auto"/>
      </w:pPr>
      <w:r>
        <w:t>Training Pack for the Infusion of Cellular products</w:t>
      </w:r>
    </w:p>
    <w:p w:rsidR="00A55085" w:rsidRDefault="00A55085" w:rsidP="00E02028">
      <w:pPr>
        <w:numPr>
          <w:ilvl w:val="0"/>
          <w:numId w:val="6"/>
        </w:numPr>
        <w:spacing w:after="0" w:line="240" w:lineRule="auto"/>
      </w:pPr>
      <w:r>
        <w:t>Trust PGD Directions (including antibiotic &amp; saline)</w:t>
      </w:r>
    </w:p>
    <w:p w:rsidR="006C1D13" w:rsidRDefault="006C1D13" w:rsidP="00E46CC9">
      <w:pPr>
        <w:spacing w:after="0" w:line="240" w:lineRule="auto"/>
      </w:pPr>
    </w:p>
    <w:p w:rsidR="00C53147" w:rsidRDefault="00C53147" w:rsidP="00E46CC9">
      <w:pPr>
        <w:spacing w:after="0" w:line="240" w:lineRule="auto"/>
      </w:pPr>
      <w:r>
        <w:t>Pharmacy</w:t>
      </w:r>
    </w:p>
    <w:p w:rsidR="00E02028" w:rsidRDefault="00E02028" w:rsidP="00E02028">
      <w:pPr>
        <w:numPr>
          <w:ilvl w:val="0"/>
          <w:numId w:val="7"/>
        </w:numPr>
        <w:spacing w:after="0" w:line="240" w:lineRule="auto"/>
      </w:pPr>
      <w:r>
        <w:t>Pharmacy/Pathology Management of Cellular Therapy Products (CTPs) as Advanced Therapy Medicinal Products (ATMPs)</w:t>
      </w:r>
    </w:p>
    <w:p w:rsidR="00E02028" w:rsidRDefault="00E02028" w:rsidP="00E02028">
      <w:pPr>
        <w:numPr>
          <w:ilvl w:val="0"/>
          <w:numId w:val="7"/>
        </w:numPr>
        <w:spacing w:after="0" w:line="240" w:lineRule="auto"/>
      </w:pPr>
      <w:r>
        <w:t>Haematology Summary of Prophylaxis</w:t>
      </w:r>
    </w:p>
    <w:p w:rsidR="00E02028" w:rsidRDefault="00E02028" w:rsidP="00E02028">
      <w:pPr>
        <w:numPr>
          <w:ilvl w:val="0"/>
          <w:numId w:val="7"/>
        </w:numPr>
        <w:spacing w:after="0" w:line="240" w:lineRule="auto"/>
      </w:pPr>
      <w:r>
        <w:t>Medicines Practice Operational Policy</w:t>
      </w:r>
    </w:p>
    <w:p w:rsidR="00E02028" w:rsidRDefault="00E02028" w:rsidP="00E02028">
      <w:pPr>
        <w:numPr>
          <w:ilvl w:val="0"/>
          <w:numId w:val="7"/>
        </w:numPr>
        <w:spacing w:after="0" w:line="240" w:lineRule="auto"/>
      </w:pPr>
      <w:r>
        <w:t>Training for Pharmacists Involved in Haematopoietic Cellular Therapies</w:t>
      </w:r>
    </w:p>
    <w:p w:rsidR="00E02028" w:rsidRDefault="00E02028" w:rsidP="00E02028">
      <w:pPr>
        <w:numPr>
          <w:ilvl w:val="0"/>
          <w:numId w:val="7"/>
        </w:numPr>
        <w:spacing w:after="0" w:line="240" w:lineRule="auto"/>
      </w:pPr>
      <w:r>
        <w:t>Tumour Lysis</w:t>
      </w:r>
    </w:p>
    <w:p w:rsidR="00E02028" w:rsidRDefault="00E02028">
      <w:pPr>
        <w:spacing w:after="0" w:line="240" w:lineRule="auto"/>
      </w:pPr>
    </w:p>
    <w:p w:rsidR="006C1D13" w:rsidRDefault="006C1D13" w:rsidP="006C1D13">
      <w:pPr>
        <w:spacing w:after="0" w:line="240" w:lineRule="auto"/>
      </w:pPr>
      <w:r>
        <w:t>Processing facility</w:t>
      </w:r>
    </w:p>
    <w:p w:rsidR="006C1D13" w:rsidRPr="00E02028" w:rsidRDefault="006C1D13" w:rsidP="006C1D13">
      <w:pPr>
        <w:numPr>
          <w:ilvl w:val="0"/>
          <w:numId w:val="3"/>
        </w:numPr>
        <w:spacing w:after="0" w:line="240" w:lineRule="auto"/>
        <w:rPr>
          <w:rFonts w:asciiTheme="minorHAnsi" w:hAnsiTheme="minorHAnsi"/>
        </w:rPr>
      </w:pPr>
      <w:r w:rsidRPr="00E02028">
        <w:rPr>
          <w:rFonts w:asciiTheme="minorHAnsi" w:hAnsiTheme="minorHAnsi"/>
        </w:rPr>
        <w:t>Checklist for the thawing and administration of frozen cells</w:t>
      </w:r>
    </w:p>
    <w:p w:rsidR="006C1D13" w:rsidRPr="00E02028" w:rsidRDefault="006C1D13" w:rsidP="006C1D13">
      <w:pPr>
        <w:numPr>
          <w:ilvl w:val="0"/>
          <w:numId w:val="3"/>
        </w:numPr>
        <w:spacing w:after="0" w:line="240" w:lineRule="auto"/>
        <w:rPr>
          <w:rFonts w:asciiTheme="minorHAnsi" w:hAnsiTheme="minorHAnsi"/>
        </w:rPr>
      </w:pPr>
      <w:r w:rsidRPr="00E02028">
        <w:rPr>
          <w:rFonts w:asciiTheme="minorHAnsi" w:hAnsiTheme="minorHAnsi"/>
        </w:rPr>
        <w:t>Checklist for the Transport, Storage and Administering of Fresh Cells</w:t>
      </w:r>
    </w:p>
    <w:p w:rsidR="006C1D13" w:rsidRPr="00E02028" w:rsidRDefault="006C1D13" w:rsidP="006C1D13">
      <w:pPr>
        <w:numPr>
          <w:ilvl w:val="0"/>
          <w:numId w:val="3"/>
        </w:numPr>
        <w:spacing w:after="0" w:line="240" w:lineRule="auto"/>
        <w:rPr>
          <w:rFonts w:asciiTheme="minorHAnsi" w:hAnsiTheme="minorHAnsi"/>
        </w:rPr>
      </w:pPr>
      <w:r w:rsidRPr="00E02028">
        <w:rPr>
          <w:rFonts w:asciiTheme="minorHAnsi" w:hAnsiTheme="minorHAnsi"/>
        </w:rPr>
        <w:t>Cleaning and disinfection policy and procedure</w:t>
      </w:r>
    </w:p>
    <w:p w:rsidR="006C1D13" w:rsidRDefault="006C1D13" w:rsidP="006C1D13">
      <w:pPr>
        <w:numPr>
          <w:ilvl w:val="0"/>
          <w:numId w:val="3"/>
        </w:numPr>
        <w:spacing w:after="0" w:line="240" w:lineRule="auto"/>
      </w:pPr>
      <w:r>
        <w:t>Issuing Frozen Cells to the ward</w:t>
      </w:r>
    </w:p>
    <w:p w:rsidR="006C1D13" w:rsidRPr="00E02028" w:rsidRDefault="006C1D13" w:rsidP="006C1D13">
      <w:pPr>
        <w:numPr>
          <w:ilvl w:val="0"/>
          <w:numId w:val="3"/>
        </w:numPr>
        <w:spacing w:after="0" w:line="240" w:lineRule="auto"/>
        <w:rPr>
          <w:rFonts w:asciiTheme="minorHAnsi" w:hAnsiTheme="minorHAnsi"/>
        </w:rPr>
      </w:pPr>
      <w:r w:rsidRPr="00E02028">
        <w:rPr>
          <w:rFonts w:asciiTheme="minorHAnsi" w:hAnsiTheme="minorHAnsi"/>
        </w:rPr>
        <w:t>Labelling Policy</w:t>
      </w:r>
    </w:p>
    <w:p w:rsidR="006C1D13" w:rsidRPr="00E02028" w:rsidRDefault="006C1D13" w:rsidP="006C1D13">
      <w:pPr>
        <w:numPr>
          <w:ilvl w:val="0"/>
          <w:numId w:val="3"/>
        </w:numPr>
        <w:spacing w:after="0" w:line="240" w:lineRule="auto"/>
        <w:rPr>
          <w:rFonts w:asciiTheme="minorHAnsi" w:eastAsia="Times New Roman" w:hAnsiTheme="minorHAnsi" w:cs="Arial"/>
          <w:lang w:eastAsia="en-GB"/>
        </w:rPr>
      </w:pPr>
      <w:r w:rsidRPr="00C53147">
        <w:rPr>
          <w:rFonts w:asciiTheme="minorHAnsi" w:eastAsia="Times New Roman" w:hAnsiTheme="minorHAnsi" w:cs="Arial"/>
          <w:lang w:eastAsia="en-GB"/>
        </w:rPr>
        <w:t>Management of Non-conforming (</w:t>
      </w:r>
      <w:proofErr w:type="spellStart"/>
      <w:r w:rsidRPr="00C53147">
        <w:rPr>
          <w:rFonts w:asciiTheme="minorHAnsi" w:eastAsia="Times New Roman" w:hAnsiTheme="minorHAnsi" w:cs="Arial"/>
          <w:lang w:eastAsia="en-GB"/>
        </w:rPr>
        <w:t>inc.</w:t>
      </w:r>
      <w:proofErr w:type="spellEnd"/>
      <w:r w:rsidRPr="00C53147">
        <w:rPr>
          <w:rFonts w:asciiTheme="minorHAnsi" w:eastAsia="Times New Roman" w:hAnsiTheme="minorHAnsi" w:cs="Arial"/>
          <w:lang w:eastAsia="en-GB"/>
        </w:rPr>
        <w:t xml:space="preserve"> contaminated) Cellular Product</w:t>
      </w:r>
    </w:p>
    <w:p w:rsidR="006C1D13" w:rsidRPr="00E02028" w:rsidRDefault="006C1D13" w:rsidP="006C1D13">
      <w:pPr>
        <w:numPr>
          <w:ilvl w:val="0"/>
          <w:numId w:val="3"/>
        </w:numPr>
        <w:spacing w:after="0" w:line="240" w:lineRule="auto"/>
        <w:rPr>
          <w:rFonts w:asciiTheme="minorHAnsi" w:hAnsiTheme="minorHAnsi"/>
        </w:rPr>
      </w:pPr>
      <w:r w:rsidRPr="00E02028">
        <w:rPr>
          <w:rFonts w:asciiTheme="minorHAnsi" w:hAnsiTheme="minorHAnsi"/>
        </w:rPr>
        <w:t>Order Notification Form for Processing</w:t>
      </w:r>
    </w:p>
    <w:p w:rsidR="006C1D13" w:rsidRDefault="006C1D13" w:rsidP="006C1D13">
      <w:pPr>
        <w:numPr>
          <w:ilvl w:val="0"/>
          <w:numId w:val="3"/>
        </w:numPr>
        <w:spacing w:after="0" w:line="240" w:lineRule="auto"/>
      </w:pPr>
      <w:r>
        <w:t>Policy for the Receipt and Release of Products</w:t>
      </w:r>
    </w:p>
    <w:p w:rsidR="006C1D13" w:rsidRPr="00E02028" w:rsidRDefault="006C1D13" w:rsidP="006C1D13">
      <w:pPr>
        <w:numPr>
          <w:ilvl w:val="0"/>
          <w:numId w:val="3"/>
        </w:numPr>
        <w:spacing w:after="0" w:line="240" w:lineRule="auto"/>
        <w:rPr>
          <w:rFonts w:asciiTheme="minorHAnsi" w:hAnsiTheme="minorHAnsi"/>
        </w:rPr>
      </w:pPr>
      <w:r w:rsidRPr="00E02028">
        <w:rPr>
          <w:rFonts w:asciiTheme="minorHAnsi" w:hAnsiTheme="minorHAnsi"/>
        </w:rPr>
        <w:t>Policy for the storage of fresh product and consumables</w:t>
      </w:r>
    </w:p>
    <w:p w:rsidR="006C1D13" w:rsidRDefault="006C1D13" w:rsidP="006C1D13">
      <w:pPr>
        <w:numPr>
          <w:ilvl w:val="0"/>
          <w:numId w:val="3"/>
        </w:numPr>
        <w:spacing w:after="0" w:line="240" w:lineRule="auto"/>
      </w:pPr>
      <w:r>
        <w:t>Receipt of harvests</w:t>
      </w:r>
    </w:p>
    <w:p w:rsidR="006C1D13" w:rsidRDefault="006C1D13" w:rsidP="006C1D13">
      <w:pPr>
        <w:numPr>
          <w:ilvl w:val="0"/>
          <w:numId w:val="3"/>
        </w:numPr>
        <w:spacing w:after="0" w:line="240" w:lineRule="auto"/>
      </w:pPr>
      <w:r>
        <w:t>Request for issue of IMP or ATMP</w:t>
      </w:r>
    </w:p>
    <w:p w:rsidR="006C1D13" w:rsidRPr="00E02028" w:rsidRDefault="006C1D13" w:rsidP="006C1D13">
      <w:pPr>
        <w:numPr>
          <w:ilvl w:val="0"/>
          <w:numId w:val="3"/>
        </w:numPr>
        <w:spacing w:after="0" w:line="240" w:lineRule="auto"/>
        <w:rPr>
          <w:rFonts w:asciiTheme="minorHAnsi" w:hAnsiTheme="minorHAnsi"/>
        </w:rPr>
      </w:pPr>
      <w:r w:rsidRPr="00E02028">
        <w:rPr>
          <w:rFonts w:asciiTheme="minorHAnsi" w:hAnsiTheme="minorHAnsi"/>
        </w:rPr>
        <w:t>Stem Cell (HPC) and T Cell (T-CT) Processing Request Form</w:t>
      </w:r>
    </w:p>
    <w:p w:rsidR="006C1D13" w:rsidRDefault="006C1D13" w:rsidP="006C1D13">
      <w:pPr>
        <w:numPr>
          <w:ilvl w:val="0"/>
          <w:numId w:val="3"/>
        </w:numPr>
        <w:spacing w:after="0" w:line="240" w:lineRule="auto"/>
      </w:pPr>
      <w:r>
        <w:t>Storage Policy for Cryopreserved Cells</w:t>
      </w:r>
    </w:p>
    <w:p w:rsidR="006C1D13" w:rsidRDefault="006C1D13" w:rsidP="006C1D13">
      <w:pPr>
        <w:numPr>
          <w:ilvl w:val="0"/>
          <w:numId w:val="3"/>
        </w:numPr>
        <w:spacing w:after="0" w:line="240" w:lineRule="auto"/>
      </w:pPr>
      <w:r>
        <w:t>Traceability and tracking policy</w:t>
      </w:r>
    </w:p>
    <w:p w:rsidR="006C1D13" w:rsidRDefault="006C1D13" w:rsidP="006C1D13">
      <w:pPr>
        <w:numPr>
          <w:ilvl w:val="0"/>
          <w:numId w:val="3"/>
        </w:numPr>
        <w:spacing w:after="0" w:line="240" w:lineRule="auto"/>
      </w:pPr>
      <w:r>
        <w:t>Transport Policy (Lab and Collection Facility)</w:t>
      </w:r>
    </w:p>
    <w:sectPr w:rsidR="006C1D13" w:rsidSect="009A0DA2">
      <w:headerReference w:type="default" r:id="rId8"/>
      <w:pgSz w:w="11906" w:h="16838"/>
      <w:pgMar w:top="1245" w:right="1440" w:bottom="1135"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F9" w:rsidRDefault="00690DF9" w:rsidP="00690DF9">
      <w:pPr>
        <w:spacing w:after="0" w:line="240" w:lineRule="auto"/>
      </w:pPr>
      <w:r>
        <w:separator/>
      </w:r>
    </w:p>
  </w:endnote>
  <w:endnote w:type="continuationSeparator" w:id="0">
    <w:p w:rsidR="00690DF9" w:rsidRDefault="00690DF9" w:rsidP="0069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F9" w:rsidRDefault="00690DF9" w:rsidP="00690DF9">
      <w:pPr>
        <w:spacing w:after="0" w:line="240" w:lineRule="auto"/>
      </w:pPr>
      <w:r>
        <w:separator/>
      </w:r>
    </w:p>
  </w:footnote>
  <w:footnote w:type="continuationSeparator" w:id="0">
    <w:p w:rsidR="00690DF9" w:rsidRDefault="00690DF9" w:rsidP="0069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F9" w:rsidRPr="00690DF9" w:rsidRDefault="00E02028" w:rsidP="00690DF9">
    <w:pPr>
      <w:pStyle w:val="Header"/>
      <w:spacing w:after="0" w:line="240" w:lineRule="auto"/>
      <w:rPr>
        <w:sz w:val="28"/>
      </w:rPr>
    </w:pPr>
    <w:r>
      <w:rPr>
        <w:noProof/>
        <w:sz w:val="28"/>
        <w:lang w:eastAsia="en-GB"/>
      </w:rPr>
      <w:drawing>
        <wp:anchor distT="0" distB="0" distL="114300" distR="114300" simplePos="0" relativeHeight="251659264" behindDoc="0" locked="0" layoutInCell="1" allowOverlap="1" wp14:anchorId="17487637" wp14:editId="51EBD3F3">
          <wp:simplePos x="0" y="0"/>
          <wp:positionH relativeFrom="column">
            <wp:posOffset>3286125</wp:posOffset>
          </wp:positionH>
          <wp:positionV relativeFrom="paragraph">
            <wp:posOffset>-87630</wp:posOffset>
          </wp:positionV>
          <wp:extent cx="2419350" cy="504825"/>
          <wp:effectExtent l="0" t="0" r="0" b="9525"/>
          <wp:wrapSquare wrapText="bothSides"/>
          <wp:docPr id="1" name="Picture 1" descr="A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DF9" w:rsidRPr="00690DF9">
      <w:rPr>
        <w:sz w:val="28"/>
      </w:rPr>
      <w:t xml:space="preserve">Cellular Therapy and </w:t>
    </w:r>
  </w:p>
  <w:p w:rsidR="00690DF9" w:rsidRPr="00690DF9" w:rsidRDefault="00690DF9" w:rsidP="00690DF9">
    <w:pPr>
      <w:pStyle w:val="Header"/>
      <w:spacing w:after="0" w:line="240" w:lineRule="auto"/>
      <w:rPr>
        <w:sz w:val="28"/>
      </w:rPr>
    </w:pPr>
    <w:r w:rsidRPr="00690DF9">
      <w:rPr>
        <w:sz w:val="28"/>
      </w:rPr>
      <w:t>Transplant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E8E"/>
    <w:multiLevelType w:val="hybridMultilevel"/>
    <w:tmpl w:val="5B0A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60CD3"/>
    <w:multiLevelType w:val="hybridMultilevel"/>
    <w:tmpl w:val="67A6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925DD"/>
    <w:multiLevelType w:val="hybridMultilevel"/>
    <w:tmpl w:val="B36C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E0070"/>
    <w:multiLevelType w:val="hybridMultilevel"/>
    <w:tmpl w:val="FA3A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C51D1"/>
    <w:multiLevelType w:val="hybridMultilevel"/>
    <w:tmpl w:val="2DCE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979BD"/>
    <w:multiLevelType w:val="hybridMultilevel"/>
    <w:tmpl w:val="1754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595195"/>
    <w:multiLevelType w:val="hybridMultilevel"/>
    <w:tmpl w:val="DB14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F9"/>
    <w:rsid w:val="00016F09"/>
    <w:rsid w:val="00022E74"/>
    <w:rsid w:val="00071AEB"/>
    <w:rsid w:val="00073167"/>
    <w:rsid w:val="00086ED5"/>
    <w:rsid w:val="000916C9"/>
    <w:rsid w:val="00095CA6"/>
    <w:rsid w:val="000A3183"/>
    <w:rsid w:val="000B7EF4"/>
    <w:rsid w:val="000C617E"/>
    <w:rsid w:val="000D5BA8"/>
    <w:rsid w:val="000E6ADF"/>
    <w:rsid w:val="00124BC8"/>
    <w:rsid w:val="001454EA"/>
    <w:rsid w:val="001500C2"/>
    <w:rsid w:val="001646AF"/>
    <w:rsid w:val="0017213A"/>
    <w:rsid w:val="00175991"/>
    <w:rsid w:val="001833D9"/>
    <w:rsid w:val="001A36D3"/>
    <w:rsid w:val="001B7BC1"/>
    <w:rsid w:val="001E4DDF"/>
    <w:rsid w:val="002053B7"/>
    <w:rsid w:val="00206E75"/>
    <w:rsid w:val="00220DD4"/>
    <w:rsid w:val="0022420A"/>
    <w:rsid w:val="0023455C"/>
    <w:rsid w:val="0024721B"/>
    <w:rsid w:val="00257759"/>
    <w:rsid w:val="00276E12"/>
    <w:rsid w:val="00286D28"/>
    <w:rsid w:val="00291876"/>
    <w:rsid w:val="002A6A57"/>
    <w:rsid w:val="002D0B28"/>
    <w:rsid w:val="002D41B6"/>
    <w:rsid w:val="002D44B5"/>
    <w:rsid w:val="002E0142"/>
    <w:rsid w:val="00301C2C"/>
    <w:rsid w:val="003314DD"/>
    <w:rsid w:val="0034533E"/>
    <w:rsid w:val="0035368B"/>
    <w:rsid w:val="00376E48"/>
    <w:rsid w:val="0038279D"/>
    <w:rsid w:val="00386857"/>
    <w:rsid w:val="0039168C"/>
    <w:rsid w:val="003937BA"/>
    <w:rsid w:val="003A2193"/>
    <w:rsid w:val="003B17F0"/>
    <w:rsid w:val="003D3652"/>
    <w:rsid w:val="003D6198"/>
    <w:rsid w:val="003E5FBD"/>
    <w:rsid w:val="003E64E8"/>
    <w:rsid w:val="0040227E"/>
    <w:rsid w:val="00406930"/>
    <w:rsid w:val="00441D5B"/>
    <w:rsid w:val="00456709"/>
    <w:rsid w:val="0047084F"/>
    <w:rsid w:val="00480D21"/>
    <w:rsid w:val="00483446"/>
    <w:rsid w:val="00487D12"/>
    <w:rsid w:val="004902D2"/>
    <w:rsid w:val="00492619"/>
    <w:rsid w:val="00495169"/>
    <w:rsid w:val="004A1AB0"/>
    <w:rsid w:val="004C7B91"/>
    <w:rsid w:val="004E1AEB"/>
    <w:rsid w:val="004E2B7E"/>
    <w:rsid w:val="004E3E33"/>
    <w:rsid w:val="005000C0"/>
    <w:rsid w:val="00512890"/>
    <w:rsid w:val="005137BF"/>
    <w:rsid w:val="00515414"/>
    <w:rsid w:val="00535807"/>
    <w:rsid w:val="0054246C"/>
    <w:rsid w:val="00545046"/>
    <w:rsid w:val="00546859"/>
    <w:rsid w:val="005756D6"/>
    <w:rsid w:val="00584576"/>
    <w:rsid w:val="00591117"/>
    <w:rsid w:val="005B06BD"/>
    <w:rsid w:val="005B1185"/>
    <w:rsid w:val="005C1AD5"/>
    <w:rsid w:val="005D5CC4"/>
    <w:rsid w:val="005E2A94"/>
    <w:rsid w:val="006079E9"/>
    <w:rsid w:val="00623CBB"/>
    <w:rsid w:val="00654652"/>
    <w:rsid w:val="00655429"/>
    <w:rsid w:val="00660CE2"/>
    <w:rsid w:val="006616E0"/>
    <w:rsid w:val="00665A00"/>
    <w:rsid w:val="0067088D"/>
    <w:rsid w:val="0068216F"/>
    <w:rsid w:val="00686CEC"/>
    <w:rsid w:val="00687457"/>
    <w:rsid w:val="006901FC"/>
    <w:rsid w:val="00690DF9"/>
    <w:rsid w:val="006B66C5"/>
    <w:rsid w:val="006C1D13"/>
    <w:rsid w:val="006F0502"/>
    <w:rsid w:val="00707C78"/>
    <w:rsid w:val="007154EF"/>
    <w:rsid w:val="007254E9"/>
    <w:rsid w:val="00725F8D"/>
    <w:rsid w:val="00732E53"/>
    <w:rsid w:val="0079512C"/>
    <w:rsid w:val="007A0055"/>
    <w:rsid w:val="007A4EC7"/>
    <w:rsid w:val="007D4944"/>
    <w:rsid w:val="007F6441"/>
    <w:rsid w:val="0081411A"/>
    <w:rsid w:val="00820907"/>
    <w:rsid w:val="008258AF"/>
    <w:rsid w:val="00842FD3"/>
    <w:rsid w:val="00871C08"/>
    <w:rsid w:val="0088154D"/>
    <w:rsid w:val="00886305"/>
    <w:rsid w:val="008A1104"/>
    <w:rsid w:val="008A4826"/>
    <w:rsid w:val="008B3307"/>
    <w:rsid w:val="008C4AF6"/>
    <w:rsid w:val="008C66F2"/>
    <w:rsid w:val="008D39E1"/>
    <w:rsid w:val="00946976"/>
    <w:rsid w:val="00952180"/>
    <w:rsid w:val="00954F13"/>
    <w:rsid w:val="00972B6B"/>
    <w:rsid w:val="009730B8"/>
    <w:rsid w:val="009753DF"/>
    <w:rsid w:val="00982C74"/>
    <w:rsid w:val="009A0DA2"/>
    <w:rsid w:val="009D62D5"/>
    <w:rsid w:val="009F6859"/>
    <w:rsid w:val="00A05F6D"/>
    <w:rsid w:val="00A27E9A"/>
    <w:rsid w:val="00A30E59"/>
    <w:rsid w:val="00A40316"/>
    <w:rsid w:val="00A426C5"/>
    <w:rsid w:val="00A533EF"/>
    <w:rsid w:val="00A547D4"/>
    <w:rsid w:val="00A55085"/>
    <w:rsid w:val="00A5508F"/>
    <w:rsid w:val="00A753C6"/>
    <w:rsid w:val="00A8213D"/>
    <w:rsid w:val="00A86AA1"/>
    <w:rsid w:val="00A878E7"/>
    <w:rsid w:val="00A9444D"/>
    <w:rsid w:val="00A957A1"/>
    <w:rsid w:val="00AC4E83"/>
    <w:rsid w:val="00AD587F"/>
    <w:rsid w:val="00AD6798"/>
    <w:rsid w:val="00AD6F29"/>
    <w:rsid w:val="00AE34FF"/>
    <w:rsid w:val="00AE3EEC"/>
    <w:rsid w:val="00AF3AA3"/>
    <w:rsid w:val="00B0276D"/>
    <w:rsid w:val="00B0432E"/>
    <w:rsid w:val="00B25B0E"/>
    <w:rsid w:val="00B45583"/>
    <w:rsid w:val="00B53F66"/>
    <w:rsid w:val="00B66FE2"/>
    <w:rsid w:val="00B72890"/>
    <w:rsid w:val="00B76B1E"/>
    <w:rsid w:val="00B77F81"/>
    <w:rsid w:val="00B90511"/>
    <w:rsid w:val="00B95B44"/>
    <w:rsid w:val="00BA0E95"/>
    <w:rsid w:val="00BA7415"/>
    <w:rsid w:val="00BB72C4"/>
    <w:rsid w:val="00BD3AF7"/>
    <w:rsid w:val="00C01C7B"/>
    <w:rsid w:val="00C03462"/>
    <w:rsid w:val="00C115CC"/>
    <w:rsid w:val="00C14D02"/>
    <w:rsid w:val="00C429E3"/>
    <w:rsid w:val="00C51974"/>
    <w:rsid w:val="00C53147"/>
    <w:rsid w:val="00C55BD6"/>
    <w:rsid w:val="00C611EB"/>
    <w:rsid w:val="00C7192D"/>
    <w:rsid w:val="00C72212"/>
    <w:rsid w:val="00C8057A"/>
    <w:rsid w:val="00C82E55"/>
    <w:rsid w:val="00CB2820"/>
    <w:rsid w:val="00CC371A"/>
    <w:rsid w:val="00CC79D6"/>
    <w:rsid w:val="00CE10AE"/>
    <w:rsid w:val="00CE71E4"/>
    <w:rsid w:val="00D145EA"/>
    <w:rsid w:val="00D42088"/>
    <w:rsid w:val="00D43274"/>
    <w:rsid w:val="00D621DB"/>
    <w:rsid w:val="00D65DA9"/>
    <w:rsid w:val="00D85DE3"/>
    <w:rsid w:val="00D861EA"/>
    <w:rsid w:val="00D86497"/>
    <w:rsid w:val="00DB4CB1"/>
    <w:rsid w:val="00DB78BA"/>
    <w:rsid w:val="00DB7940"/>
    <w:rsid w:val="00DD771E"/>
    <w:rsid w:val="00DE01D4"/>
    <w:rsid w:val="00DE5AE3"/>
    <w:rsid w:val="00E02028"/>
    <w:rsid w:val="00E20BDC"/>
    <w:rsid w:val="00E34D41"/>
    <w:rsid w:val="00E4650F"/>
    <w:rsid w:val="00E46CC9"/>
    <w:rsid w:val="00E50766"/>
    <w:rsid w:val="00E676DC"/>
    <w:rsid w:val="00E74344"/>
    <w:rsid w:val="00E95DD7"/>
    <w:rsid w:val="00EA05AA"/>
    <w:rsid w:val="00EB0AF0"/>
    <w:rsid w:val="00ED42B9"/>
    <w:rsid w:val="00EF3D5A"/>
    <w:rsid w:val="00EF4538"/>
    <w:rsid w:val="00F0524C"/>
    <w:rsid w:val="00F35DC2"/>
    <w:rsid w:val="00F44C5E"/>
    <w:rsid w:val="00F714DB"/>
    <w:rsid w:val="00F76330"/>
    <w:rsid w:val="00F831A1"/>
    <w:rsid w:val="00F83CF8"/>
    <w:rsid w:val="00F83DC7"/>
    <w:rsid w:val="00FD2A51"/>
    <w:rsid w:val="00FE2CA5"/>
    <w:rsid w:val="00FE5EDB"/>
    <w:rsid w:val="00FF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DF9"/>
    <w:pPr>
      <w:tabs>
        <w:tab w:val="center" w:pos="4513"/>
        <w:tab w:val="right" w:pos="9026"/>
      </w:tabs>
    </w:pPr>
  </w:style>
  <w:style w:type="character" w:customStyle="1" w:styleId="HeaderChar">
    <w:name w:val="Header Char"/>
    <w:basedOn w:val="DefaultParagraphFont"/>
    <w:link w:val="Header"/>
    <w:uiPriority w:val="99"/>
    <w:rsid w:val="00690DF9"/>
    <w:rPr>
      <w:sz w:val="22"/>
      <w:szCs w:val="22"/>
      <w:lang w:eastAsia="en-US"/>
    </w:rPr>
  </w:style>
  <w:style w:type="paragraph" w:styleId="Footer">
    <w:name w:val="footer"/>
    <w:basedOn w:val="Normal"/>
    <w:link w:val="FooterChar"/>
    <w:uiPriority w:val="99"/>
    <w:unhideWhenUsed/>
    <w:rsid w:val="00690DF9"/>
    <w:pPr>
      <w:tabs>
        <w:tab w:val="center" w:pos="4513"/>
        <w:tab w:val="right" w:pos="9026"/>
      </w:tabs>
    </w:pPr>
  </w:style>
  <w:style w:type="character" w:customStyle="1" w:styleId="FooterChar">
    <w:name w:val="Footer Char"/>
    <w:basedOn w:val="DefaultParagraphFont"/>
    <w:link w:val="Footer"/>
    <w:uiPriority w:val="99"/>
    <w:rsid w:val="00690DF9"/>
    <w:rPr>
      <w:sz w:val="22"/>
      <w:szCs w:val="22"/>
      <w:lang w:eastAsia="en-US"/>
    </w:rPr>
  </w:style>
  <w:style w:type="paragraph" w:styleId="ListParagraph">
    <w:name w:val="List Paragraph"/>
    <w:basedOn w:val="Normal"/>
    <w:uiPriority w:val="34"/>
    <w:qFormat/>
    <w:rsid w:val="006C1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DF9"/>
    <w:pPr>
      <w:tabs>
        <w:tab w:val="center" w:pos="4513"/>
        <w:tab w:val="right" w:pos="9026"/>
      </w:tabs>
    </w:pPr>
  </w:style>
  <w:style w:type="character" w:customStyle="1" w:styleId="HeaderChar">
    <w:name w:val="Header Char"/>
    <w:basedOn w:val="DefaultParagraphFont"/>
    <w:link w:val="Header"/>
    <w:uiPriority w:val="99"/>
    <w:rsid w:val="00690DF9"/>
    <w:rPr>
      <w:sz w:val="22"/>
      <w:szCs w:val="22"/>
      <w:lang w:eastAsia="en-US"/>
    </w:rPr>
  </w:style>
  <w:style w:type="paragraph" w:styleId="Footer">
    <w:name w:val="footer"/>
    <w:basedOn w:val="Normal"/>
    <w:link w:val="FooterChar"/>
    <w:uiPriority w:val="99"/>
    <w:unhideWhenUsed/>
    <w:rsid w:val="00690DF9"/>
    <w:pPr>
      <w:tabs>
        <w:tab w:val="center" w:pos="4513"/>
        <w:tab w:val="right" w:pos="9026"/>
      </w:tabs>
    </w:pPr>
  </w:style>
  <w:style w:type="character" w:customStyle="1" w:styleId="FooterChar">
    <w:name w:val="Footer Char"/>
    <w:basedOn w:val="DefaultParagraphFont"/>
    <w:link w:val="Footer"/>
    <w:uiPriority w:val="99"/>
    <w:rsid w:val="00690DF9"/>
    <w:rPr>
      <w:sz w:val="22"/>
      <w:szCs w:val="22"/>
      <w:lang w:eastAsia="en-US"/>
    </w:rPr>
  </w:style>
  <w:style w:type="paragraph" w:styleId="ListParagraph">
    <w:name w:val="List Paragraph"/>
    <w:basedOn w:val="Normal"/>
    <w:uiPriority w:val="34"/>
    <w:qFormat/>
    <w:rsid w:val="006C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3734">
      <w:bodyDiv w:val="1"/>
      <w:marLeft w:val="0"/>
      <w:marRight w:val="0"/>
      <w:marTop w:val="0"/>
      <w:marBottom w:val="0"/>
      <w:divBdr>
        <w:top w:val="none" w:sz="0" w:space="0" w:color="auto"/>
        <w:left w:val="none" w:sz="0" w:space="0" w:color="auto"/>
        <w:bottom w:val="none" w:sz="0" w:space="0" w:color="auto"/>
        <w:right w:val="none" w:sz="0" w:space="0" w:color="auto"/>
      </w:divBdr>
    </w:div>
    <w:div w:id="1325008220">
      <w:bodyDiv w:val="1"/>
      <w:marLeft w:val="0"/>
      <w:marRight w:val="0"/>
      <w:marTop w:val="0"/>
      <w:marBottom w:val="0"/>
      <w:divBdr>
        <w:top w:val="none" w:sz="0" w:space="0" w:color="auto"/>
        <w:left w:val="none" w:sz="0" w:space="0" w:color="auto"/>
        <w:bottom w:val="none" w:sz="0" w:space="0" w:color="auto"/>
        <w:right w:val="none" w:sz="0" w:space="0" w:color="auto"/>
      </w:divBdr>
    </w:div>
    <w:div w:id="1396123380">
      <w:bodyDiv w:val="1"/>
      <w:marLeft w:val="0"/>
      <w:marRight w:val="0"/>
      <w:marTop w:val="0"/>
      <w:marBottom w:val="0"/>
      <w:divBdr>
        <w:top w:val="none" w:sz="0" w:space="0" w:color="auto"/>
        <w:left w:val="none" w:sz="0" w:space="0" w:color="auto"/>
        <w:bottom w:val="none" w:sz="0" w:space="0" w:color="auto"/>
        <w:right w:val="none" w:sz="0" w:space="0" w:color="auto"/>
      </w:divBdr>
    </w:div>
    <w:div w:id="1456830688">
      <w:bodyDiv w:val="1"/>
      <w:marLeft w:val="0"/>
      <w:marRight w:val="0"/>
      <w:marTop w:val="0"/>
      <w:marBottom w:val="0"/>
      <w:divBdr>
        <w:top w:val="none" w:sz="0" w:space="0" w:color="auto"/>
        <w:left w:val="none" w:sz="0" w:space="0" w:color="auto"/>
        <w:bottom w:val="none" w:sz="0" w:space="0" w:color="auto"/>
        <w:right w:val="none" w:sz="0" w:space="0" w:color="auto"/>
      </w:divBdr>
    </w:div>
    <w:div w:id="1600025471">
      <w:bodyDiv w:val="1"/>
      <w:marLeft w:val="0"/>
      <w:marRight w:val="0"/>
      <w:marTop w:val="0"/>
      <w:marBottom w:val="0"/>
      <w:divBdr>
        <w:top w:val="none" w:sz="0" w:space="0" w:color="auto"/>
        <w:left w:val="none" w:sz="0" w:space="0" w:color="auto"/>
        <w:bottom w:val="none" w:sz="0" w:space="0" w:color="auto"/>
        <w:right w:val="none" w:sz="0" w:space="0" w:color="auto"/>
      </w:divBdr>
    </w:div>
    <w:div w:id="1671253299">
      <w:bodyDiv w:val="1"/>
      <w:marLeft w:val="0"/>
      <w:marRight w:val="0"/>
      <w:marTop w:val="0"/>
      <w:marBottom w:val="0"/>
      <w:divBdr>
        <w:top w:val="none" w:sz="0" w:space="0" w:color="auto"/>
        <w:left w:val="none" w:sz="0" w:space="0" w:color="auto"/>
        <w:bottom w:val="none" w:sz="0" w:space="0" w:color="auto"/>
        <w:right w:val="none" w:sz="0" w:space="0" w:color="auto"/>
      </w:divBdr>
    </w:div>
    <w:div w:id="1876502597">
      <w:bodyDiv w:val="1"/>
      <w:marLeft w:val="0"/>
      <w:marRight w:val="0"/>
      <w:marTop w:val="0"/>
      <w:marBottom w:val="0"/>
      <w:divBdr>
        <w:top w:val="none" w:sz="0" w:space="0" w:color="auto"/>
        <w:left w:val="none" w:sz="0" w:space="0" w:color="auto"/>
        <w:bottom w:val="none" w:sz="0" w:space="0" w:color="auto"/>
        <w:right w:val="none" w:sz="0" w:space="0" w:color="auto"/>
      </w:divBdr>
    </w:div>
    <w:div w:id="21244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Cliffe Simon (RBV) NHS Christie Tr</dc:creator>
  <cp:lastModifiedBy>Cliffe Simon (RBV) NHS Christie Tr</cp:lastModifiedBy>
  <cp:revision>12</cp:revision>
  <dcterms:created xsi:type="dcterms:W3CDTF">2019-11-04T14:02:00Z</dcterms:created>
  <dcterms:modified xsi:type="dcterms:W3CDTF">2020-11-09T10:52:00Z</dcterms:modified>
</cp:coreProperties>
</file>